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696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C80D1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8AB16C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94"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w:t>
            </w:r>
            <w:r>
              <w:rPr>
                <w:rFonts w:ascii="黑体" w:hAnsi="黑体" w:eastAsia="黑体"/>
                <w:sz w:val="21"/>
                <w:szCs w:val="21"/>
              </w:rPr>
              <w:t>.</w:t>
            </w:r>
            <w:r>
              <w:rPr>
                <w:rFonts w:hint="eastAsia" w:ascii="黑体" w:hAnsi="黑体" w:eastAsia="黑体"/>
                <w:sz w:val="21"/>
                <w:szCs w:val="21"/>
              </w:rPr>
              <w:t>080</w:t>
            </w:r>
            <w:r>
              <w:rPr>
                <w:rFonts w:ascii="黑体" w:hAnsi="黑体" w:eastAsia="黑体"/>
                <w:sz w:val="21"/>
                <w:szCs w:val="21"/>
              </w:rPr>
              <w:fldChar w:fldCharType="end"/>
            </w:r>
            <w:bookmarkEnd w:id="0"/>
            <w:bookmarkEnd w:id="94"/>
          </w:p>
        </w:tc>
      </w:tr>
      <w:tr w14:paraId="07F0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BE2BF6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4D7053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A16</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E0BF8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B5EC72E">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14</w:t>
            </w:r>
            <w:r>
              <w:fldChar w:fldCharType="end"/>
            </w:r>
            <w:bookmarkEnd w:id="3"/>
          </w:p>
        </w:tc>
      </w:tr>
    </w:tbl>
    <w:p w14:paraId="5C4215A3">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E4502BA">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Pr>
          <w:rFonts w:hint="eastAsia"/>
        </w:rPr>
        <w:t>5</w:t>
      </w:r>
      <w:r>
        <w:fldChar w:fldCharType="end"/>
      </w:r>
      <w:bookmarkEnd w:id="7"/>
    </w:p>
    <w:p w14:paraId="688684B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B9E571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47FFBCD">
      <w:pPr>
        <w:pStyle w:val="50"/>
        <w:framePr w:w="9639" w:h="6976" w:hRule="exact" w:hSpace="0" w:vSpace="0" w:wrap="around" w:hAnchor="page" w:y="6408"/>
        <w:jc w:val="center"/>
        <w:rPr>
          <w:rFonts w:hint="eastAsia" w:ascii="黑体" w:hAnsi="黑体" w:eastAsia="黑体"/>
          <w:b w:val="0"/>
          <w:bCs w:val="0"/>
          <w:w w:val="100"/>
        </w:rPr>
      </w:pPr>
    </w:p>
    <w:p w14:paraId="6FB39AC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不可移动文物自然灾害应急响应</w:t>
      </w:r>
    </w:p>
    <w:p w14:paraId="4CEBB745">
      <w:pPr>
        <w:pStyle w:val="197"/>
        <w:framePr w:h="6974" w:hRule="exact" w:wrap="around" w:x="1419" w:anchorLock="1"/>
        <w:rPr>
          <w:rFonts w:hint="eastAsia"/>
        </w:rPr>
      </w:pPr>
      <w:r>
        <w:rPr>
          <w:rFonts w:hint="eastAsia"/>
        </w:rPr>
        <w:t>等级划分</w:t>
      </w:r>
      <w:r>
        <w:fldChar w:fldCharType="end"/>
      </w:r>
      <w:bookmarkEnd w:id="9"/>
    </w:p>
    <w:p w14:paraId="09E2BD11">
      <w:pPr>
        <w:framePr w:w="9639" w:h="6974" w:hRule="exact" w:wrap="around" w:vAnchor="page" w:hAnchor="page" w:x="1419" w:y="6408" w:anchorLock="1"/>
        <w:ind w:left="-1418"/>
      </w:pPr>
    </w:p>
    <w:p w14:paraId="5A7BF756">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 </w:t>
      </w:r>
      <w:r>
        <w:rPr>
          <w:rFonts w:ascii="黑体" w:hAnsi="黑体" w:eastAsia="黑体"/>
          <w:szCs w:val="28"/>
        </w:rPr>
        <w:fldChar w:fldCharType="end"/>
      </w:r>
      <w:bookmarkEnd w:id="10"/>
    </w:p>
    <w:p w14:paraId="60CC86FE">
      <w:pPr>
        <w:framePr w:w="9639" w:h="6974" w:hRule="exact" w:wrap="around" w:vAnchor="page" w:hAnchor="page" w:x="1419" w:y="6408" w:anchorLock="1"/>
        <w:spacing w:line="760" w:lineRule="exact"/>
        <w:ind w:left="-1418"/>
      </w:pPr>
    </w:p>
    <w:p w14:paraId="21639591">
      <w:pPr>
        <w:pStyle w:val="125"/>
        <w:framePr w:w="9639" w:h="6974" w:hRule="exact" w:wrap="around" w:vAnchor="page" w:hAnchor="page" w:x="1419" w:y="6408" w:anchorLock="1"/>
        <w:textAlignment w:val="bottom"/>
        <w:rPr>
          <w:rFonts w:eastAsia="黑体"/>
          <w:szCs w:val="28"/>
        </w:rPr>
      </w:pPr>
    </w:p>
    <w:p w14:paraId="046DA69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D9D545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7BA354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D9A8EF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6BF0C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100C19D">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51043C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061047">
      <w:pPr>
        <w:pStyle w:val="91"/>
        <w:spacing w:after="468"/>
      </w:pPr>
      <w:bookmarkStart w:id="21" w:name="BookMark1"/>
      <w:bookmarkStart w:id="22" w:name="_Toc147655618"/>
      <w:r>
        <w:rPr>
          <w:rFonts w:hint="eastAsia"/>
          <w:spacing w:val="320"/>
        </w:rPr>
        <w:t>目</w:t>
      </w:r>
      <w:r>
        <w:rPr>
          <w:rFonts w:hint="eastAsia"/>
        </w:rPr>
        <w:t>次</w:t>
      </w:r>
    </w:p>
    <w:p w14:paraId="6927CF4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"_Toc196659051"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_Toc196659051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748E2B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"_Toc196659052"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_Toc196659052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2E58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"_Toc196659053"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_Toc196659053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6FB896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"_Toc196659054"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_Toc196659054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D40B1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"_Toc196659055" </w:instrText>
      </w:r>
      <w:r>
        <w:fldChar w:fldCharType="separate"/>
      </w:r>
      <w:r>
        <w:rPr>
          <w:rStyle w:val="32"/>
          <w:rFonts w:hint="eastAsia"/>
        </w:rPr>
        <w:t>4 4　应急响应等级评定</w:t>
      </w:r>
      <w:r>
        <w:rPr>
          <w:rFonts w:hint="eastAsia"/>
        </w:rPr>
        <w:tab/>
      </w:r>
      <w:r>
        <w:rPr>
          <w:rFonts w:hint="eastAsia"/>
        </w:rPr>
        <w:fldChar w:fldCharType="begin"/>
      </w:r>
      <w:r>
        <w:rPr>
          <w:rFonts w:hint="eastAsia"/>
        </w:rPr>
        <w:instrText xml:space="preserve"> </w:instrText>
      </w:r>
      <w:r>
        <w:instrText xml:space="preserve">PAGEREF _Toc196659055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3B96E4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"_Toc196659056" </w:instrText>
      </w:r>
      <w:r>
        <w:fldChar w:fldCharType="separate"/>
      </w:r>
      <w:r>
        <w:rPr>
          <w:rStyle w:val="32"/>
          <w:rFonts w:hint="eastAsia"/>
          <w14:scene3d w14:prst="orthographicFront">
            <w14:lightRig w14:rig="threePt" w14:dir="t">
              <w14:rot w14:lat="0" w14:lon="0" w14:rev="0"/>
            </w14:lightRig>
          </w14:scene3d>
        </w:rPr>
        <w:t>4.1</w:t>
      </w:r>
      <w:r>
        <w:rPr>
          <w:rStyle w:val="32"/>
          <w:rFonts w:hint="eastAsia"/>
        </w:rPr>
        <w:t xml:space="preserve"> 气象灾害</w:t>
      </w:r>
      <w:r>
        <w:rPr>
          <w:rFonts w:hint="eastAsia"/>
        </w:rPr>
        <w:tab/>
      </w:r>
      <w:r>
        <w:rPr>
          <w:rFonts w:hint="eastAsia"/>
        </w:rPr>
        <w:fldChar w:fldCharType="begin"/>
      </w:r>
      <w:r>
        <w:rPr>
          <w:rFonts w:hint="eastAsia"/>
        </w:rPr>
        <w:instrText xml:space="preserve"> </w:instrText>
      </w:r>
      <w:r>
        <w:instrText xml:space="preserve">PAGEREF _Toc196659056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C98C1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"_Toc196659057" </w:instrText>
      </w:r>
      <w:r>
        <w:fldChar w:fldCharType="separate"/>
      </w:r>
      <w:r>
        <w:rPr>
          <w:rStyle w:val="32"/>
          <w:rFonts w:hint="eastAsia"/>
          <w14:scene3d w14:prst="orthographicFront">
            <w14:lightRig w14:rig="threePt" w14:dir="t">
              <w14:rot w14:lat="0" w14:lon="0" w14:rev="0"/>
            </w14:lightRig>
          </w14:scene3d>
        </w:rPr>
        <w:t>4.2</w:t>
      </w:r>
      <w:r>
        <w:rPr>
          <w:rStyle w:val="32"/>
          <w:rFonts w:hint="eastAsia"/>
        </w:rPr>
        <w:t xml:space="preserve"> 水文灾害</w:t>
      </w:r>
      <w:r>
        <w:rPr>
          <w:rFonts w:hint="eastAsia"/>
        </w:rPr>
        <w:tab/>
      </w:r>
      <w:r>
        <w:rPr>
          <w:rFonts w:hint="eastAsia"/>
        </w:rPr>
        <w:fldChar w:fldCharType="begin"/>
      </w:r>
      <w:r>
        <w:rPr>
          <w:rFonts w:hint="eastAsia"/>
        </w:rPr>
        <w:instrText xml:space="preserve"> </w:instrText>
      </w:r>
      <w:r>
        <w:instrText xml:space="preserve">PAGEREF _Toc196659057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E101B9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"_Toc196659058" </w:instrText>
      </w:r>
      <w:r>
        <w:fldChar w:fldCharType="separate"/>
      </w:r>
      <w:r>
        <w:rPr>
          <w:rStyle w:val="32"/>
          <w:rFonts w:hint="eastAsia"/>
          <w14:scene3d w14:prst="orthographicFront">
            <w14:lightRig w14:rig="threePt" w14:dir="t">
              <w14:rot w14:lat="0" w14:lon="0" w14:rev="0"/>
            </w14:lightRig>
          </w14:scene3d>
        </w:rPr>
        <w:t>4.3</w:t>
      </w:r>
      <w:r>
        <w:rPr>
          <w:rStyle w:val="32"/>
          <w:rFonts w:hint="eastAsia"/>
        </w:rPr>
        <w:t xml:space="preserve"> 地震灾害</w:t>
      </w:r>
      <w:r>
        <w:rPr>
          <w:rFonts w:hint="eastAsia"/>
        </w:rPr>
        <w:tab/>
      </w:r>
      <w:r>
        <w:rPr>
          <w:rFonts w:hint="eastAsia"/>
        </w:rPr>
        <w:fldChar w:fldCharType="begin"/>
      </w:r>
      <w:r>
        <w:rPr>
          <w:rFonts w:hint="eastAsia"/>
        </w:rPr>
        <w:instrText xml:space="preserve"> </w:instrText>
      </w:r>
      <w:r>
        <w:instrText xml:space="preserve">PAGEREF _Toc196659058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AFFED8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"_Toc196659059" </w:instrText>
      </w:r>
      <w:r>
        <w:fldChar w:fldCharType="separate"/>
      </w:r>
      <w:r>
        <w:rPr>
          <w:rStyle w:val="32"/>
          <w:rFonts w:hint="eastAsia"/>
          <w14:scene3d w14:prst="orthographicFront">
            <w14:lightRig w14:rig="threePt" w14:dir="t">
              <w14:rot w14:lat="0" w14:lon="0" w14:rev="0"/>
            </w14:lightRig>
          </w14:scene3d>
        </w:rPr>
        <w:t>4.4</w:t>
      </w:r>
      <w:r>
        <w:rPr>
          <w:rStyle w:val="32"/>
          <w:rFonts w:hint="eastAsia"/>
        </w:rPr>
        <w:t xml:space="preserve"> 地质灾害</w:t>
      </w:r>
      <w:r>
        <w:rPr>
          <w:rFonts w:hint="eastAsia"/>
        </w:rPr>
        <w:tab/>
      </w:r>
      <w:r>
        <w:rPr>
          <w:rFonts w:hint="eastAsia"/>
        </w:rPr>
        <w:fldChar w:fldCharType="begin"/>
      </w:r>
      <w:r>
        <w:rPr>
          <w:rFonts w:hint="eastAsia"/>
        </w:rPr>
        <w:instrText xml:space="preserve"> </w:instrText>
      </w:r>
      <w:r>
        <w:instrText xml:space="preserve">PAGEREF _Toc196659059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4988A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"_Toc196659060" </w:instrText>
      </w:r>
      <w:r>
        <w:fldChar w:fldCharType="separate"/>
      </w:r>
      <w:r>
        <w:rPr>
          <w:rStyle w:val="32"/>
          <w:rFonts w:hint="eastAsia"/>
          <w14:scene3d w14:prst="orthographicFront">
            <w14:lightRig w14:rig="threePt" w14:dir="t">
              <w14:rot w14:lat="0" w14:lon="0" w14:rev="0"/>
            </w14:lightRig>
          </w14:scene3d>
        </w:rPr>
        <w:t>4.5</w:t>
      </w:r>
      <w:r>
        <w:rPr>
          <w:rStyle w:val="32"/>
          <w:rFonts w:hint="eastAsia"/>
        </w:rPr>
        <w:t xml:space="preserve"> 其他规定</w:t>
      </w:r>
      <w:r>
        <w:rPr>
          <w:rFonts w:hint="eastAsia"/>
        </w:rPr>
        <w:tab/>
      </w:r>
      <w:r>
        <w:rPr>
          <w:rFonts w:hint="eastAsia"/>
        </w:rPr>
        <w:fldChar w:fldCharType="begin"/>
      </w:r>
      <w:r>
        <w:rPr>
          <w:rFonts w:hint="eastAsia"/>
        </w:rPr>
        <w:instrText xml:space="preserve"> </w:instrText>
      </w:r>
      <w:r>
        <w:instrText xml:space="preserve">PAGEREF _Toc196659060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B0C325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"_Toc196659061" </w:instrText>
      </w:r>
      <w:r>
        <w:fldChar w:fldCharType="separate"/>
      </w:r>
      <w:r>
        <w:rPr>
          <w:rStyle w:val="32"/>
          <w:rFonts w:hint="eastAsia"/>
        </w:rPr>
        <w:t>参 考 文 献</w:t>
      </w:r>
      <w:r>
        <w:rPr>
          <w:rFonts w:hint="eastAsia"/>
        </w:rPr>
        <w:tab/>
      </w:r>
      <w:r>
        <w:rPr>
          <w:rFonts w:hint="eastAsia"/>
        </w:rPr>
        <w:fldChar w:fldCharType="begin"/>
      </w:r>
      <w:r>
        <w:rPr>
          <w:rFonts w:hint="eastAsia"/>
        </w:rPr>
        <w:instrText xml:space="preserve"> </w:instrText>
      </w:r>
      <w:r>
        <w:instrText xml:space="preserve">PAGEREF _Toc196659061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08E7287">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33CC77D7">
      <w:pPr>
        <w:pStyle w:val="89"/>
        <w:spacing w:before="900" w:after="468"/>
      </w:pPr>
      <w:bookmarkStart w:id="23" w:name="_Toc196659051"/>
      <w:bookmarkStart w:id="24" w:name="BookMark2"/>
      <w:r>
        <w:t>前</w:t>
      </w:r>
      <w:r>
        <w:rPr>
          <w:rFonts w:hint="eastAsia"/>
        </w:rPr>
        <w:t xml:space="preserve">   </w:t>
      </w:r>
      <w:r>
        <w:t>言</w:t>
      </w:r>
      <w:bookmarkEnd w:id="22"/>
      <w:bookmarkEnd w:id="23"/>
    </w:p>
    <w:p w14:paraId="461E41EE">
      <w:pPr>
        <w:pStyle w:val="56"/>
        <w:ind w:firstLine="420"/>
      </w:pPr>
      <w:r>
        <w:rPr>
          <w:rFonts w:hint="eastAsia"/>
        </w:rPr>
        <w:t>本文件按照GB/T 1.1—2020《标准化工作导则  第1部分：标准化文件的结构和起草规则》的规定 起草。</w:t>
      </w:r>
    </w:p>
    <w:p w14:paraId="128CD2F5">
      <w:pPr>
        <w:pStyle w:val="56"/>
        <w:ind w:firstLine="420"/>
      </w:pPr>
      <w:r>
        <w:rPr>
          <w:rFonts w:hint="eastAsia"/>
        </w:rPr>
        <w:t>本文件由山西省文物局提出、组织实施和监督实施。</w:t>
      </w:r>
    </w:p>
    <w:p w14:paraId="3F85BE85">
      <w:pPr>
        <w:pStyle w:val="56"/>
        <w:ind w:firstLine="420"/>
      </w:pPr>
      <w:r>
        <w:rPr>
          <w:rFonts w:hint="eastAsia"/>
        </w:rPr>
        <w:t>本文件由山西省文物保护标准化技术委员会（SXS/TC03）归口。</w:t>
      </w:r>
    </w:p>
    <w:p w14:paraId="08EAD308">
      <w:pPr>
        <w:pStyle w:val="56"/>
        <w:ind w:firstLine="420"/>
      </w:pPr>
      <w:r>
        <w:rPr>
          <w:rFonts w:hint="eastAsia"/>
        </w:rPr>
        <w:t>本文件起草单位：山西省古建筑与彩塑壁画保护研究院、中国文物信息咨询中心、中国文化遗产研究院、北京思湃德信息技术有限公司、珠海市四维时代网络科技有限公司。</w:t>
      </w:r>
    </w:p>
    <w:p w14:paraId="33AE7DCC">
      <w:pPr>
        <w:pStyle w:val="56"/>
        <w:ind w:firstLine="420"/>
      </w:pPr>
      <w:r>
        <w:rPr>
          <w:rFonts w:hint="eastAsia"/>
        </w:rPr>
        <w:t>本文件主要起草人：路易、李宏松、夏国芳、张兵峰、孙延忠、赵夏、黄玉琴、梁涛、方亚华、崔岩、郑宽、邹晨曦、王小龙、游家皓。</w:t>
      </w:r>
    </w:p>
    <w:p w14:paraId="481CD52C">
      <w:pPr>
        <w:pStyle w:val="56"/>
        <w:ind w:firstLine="420"/>
      </w:pPr>
    </w:p>
    <w:p w14:paraId="152ADF90">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28CF6457">
      <w:pPr>
        <w:spacing w:line="20" w:lineRule="exact"/>
        <w:jc w:val="center"/>
        <w:rPr>
          <w:rFonts w:hint="eastAsia" w:ascii="黑体" w:hAnsi="黑体" w:eastAsia="黑体"/>
          <w:sz w:val="32"/>
          <w:szCs w:val="32"/>
        </w:rPr>
      </w:pPr>
      <w:bookmarkStart w:id="25" w:name="BookMark4"/>
    </w:p>
    <w:p w14:paraId="37492CF5">
      <w:pPr>
        <w:spacing w:line="20" w:lineRule="exact"/>
        <w:jc w:val="center"/>
        <w:rPr>
          <w:rFonts w:hint="eastAsia" w:ascii="黑体" w:hAnsi="黑体" w:eastAsia="黑体"/>
          <w:sz w:val="32"/>
          <w:szCs w:val="32"/>
        </w:rPr>
      </w:pPr>
    </w:p>
    <w:sdt>
      <w:sdtPr>
        <w:tag w:val="NEW_STAND_NAME"/>
        <w:id w:val="595910757"/>
        <w:lock w:val="sdtLocked"/>
        <w:placeholder>
          <w:docPart w:val="FD0D6A5FEDB9464ABBD8C981301DCC23"/>
        </w:placeholder>
      </w:sdtPr>
      <w:sdtContent>
        <w:p w14:paraId="0D4E7432">
          <w:pPr>
            <w:pStyle w:val="177"/>
            <w:spacing w:before="312" w:beforeLines="100" w:after="686" w:afterLines="220"/>
            <w:rPr>
              <w:rFonts w:hint="eastAsia"/>
            </w:rPr>
          </w:pPr>
          <w:bookmarkStart w:id="26" w:name="NEW_STAND_NAME"/>
          <w:r>
            <w:rPr>
              <w:rFonts w:hint="eastAsia"/>
            </w:rPr>
            <w:t>不可移动文物自然灾害应急响应等级划分</w:t>
          </w:r>
        </w:p>
      </w:sdtContent>
    </w:sdt>
    <w:bookmarkEnd w:id="26"/>
    <w:p w14:paraId="15CC56B1">
      <w:pPr>
        <w:pStyle w:val="104"/>
        <w:spacing w:before="312" w:after="312"/>
      </w:pPr>
      <w:bookmarkStart w:id="27" w:name="_Toc24884218"/>
      <w:bookmarkStart w:id="28" w:name="_Toc26986530"/>
      <w:bookmarkStart w:id="29" w:name="_Toc17233325"/>
      <w:bookmarkStart w:id="30" w:name="_Toc147655619"/>
      <w:bookmarkStart w:id="31" w:name="_Toc26648465"/>
      <w:bookmarkStart w:id="32" w:name="_Toc17233333"/>
      <w:bookmarkStart w:id="33" w:name="_Toc26718930"/>
      <w:bookmarkStart w:id="34" w:name="_Toc26986771"/>
      <w:bookmarkStart w:id="35" w:name="_Toc97191423"/>
      <w:bookmarkStart w:id="36" w:name="_Toc196659052"/>
      <w:bookmarkStart w:id="37" w:name="_Toc24884211"/>
      <w:r>
        <w:rPr>
          <w:rFonts w:hint="eastAsia"/>
        </w:rPr>
        <w:t>范围</w:t>
      </w:r>
      <w:bookmarkEnd w:id="27"/>
      <w:bookmarkEnd w:id="28"/>
      <w:bookmarkEnd w:id="29"/>
      <w:bookmarkEnd w:id="30"/>
      <w:bookmarkEnd w:id="31"/>
      <w:bookmarkEnd w:id="32"/>
      <w:bookmarkEnd w:id="33"/>
      <w:bookmarkEnd w:id="34"/>
      <w:bookmarkEnd w:id="35"/>
      <w:bookmarkEnd w:id="36"/>
      <w:bookmarkEnd w:id="37"/>
    </w:p>
    <w:p w14:paraId="5B268470">
      <w:pPr>
        <w:pStyle w:val="56"/>
        <w:ind w:firstLine="420"/>
      </w:pPr>
      <w:bookmarkStart w:id="38" w:name="_Toc17233334"/>
      <w:bookmarkStart w:id="39" w:name="_Toc24884219"/>
      <w:bookmarkStart w:id="40" w:name="_Toc26648466"/>
      <w:bookmarkStart w:id="41" w:name="_Toc24884212"/>
      <w:bookmarkStart w:id="42" w:name="_Toc17233326"/>
      <w:r>
        <w:rPr>
          <w:rFonts w:hint="eastAsia"/>
        </w:rPr>
        <w:t>本文件规定了山西省不可移动文物面对各类突发性自然灾害时的应急响应分级依据。</w:t>
      </w:r>
    </w:p>
    <w:p w14:paraId="6FB3A91B">
      <w:pPr>
        <w:pStyle w:val="56"/>
        <w:ind w:firstLine="420"/>
      </w:pPr>
      <w:r>
        <w:rPr>
          <w:rFonts w:hint="eastAsia"/>
        </w:rPr>
        <w:t>本文件适用于山西省不可移动文物面对突发性自然灾害时的应急响应等级快速划分评定工作。</w:t>
      </w:r>
    </w:p>
    <w:p w14:paraId="5A6B6AA4">
      <w:pPr>
        <w:pStyle w:val="104"/>
        <w:spacing w:before="312" w:after="312"/>
      </w:pPr>
      <w:bookmarkStart w:id="43" w:name="_Toc147655620"/>
      <w:bookmarkStart w:id="44" w:name="_Toc26986772"/>
      <w:bookmarkStart w:id="45" w:name="_Toc196659053"/>
      <w:bookmarkStart w:id="46" w:name="_Toc97191424"/>
      <w:bookmarkStart w:id="47" w:name="_Toc26986531"/>
      <w:bookmarkStart w:id="48" w:name="_Toc267189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432EAA93BFD4DAEB25CA6F752C415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E6FCE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811643">
      <w:pPr>
        <w:pStyle w:val="56"/>
        <w:ind w:firstLine="420"/>
      </w:pPr>
      <w:r>
        <w:rPr>
          <w:rFonts w:hint="eastAsia"/>
        </w:rPr>
        <w:t>GB/T 17742 中国地震烈度表</w:t>
      </w:r>
    </w:p>
    <w:p w14:paraId="183FFB35">
      <w:pPr>
        <w:pStyle w:val="56"/>
        <w:ind w:firstLine="420"/>
      </w:pPr>
      <w:r>
        <w:rPr>
          <w:rFonts w:hint="eastAsia"/>
        </w:rPr>
        <w:t>GB/T 22482 水文情报预报规范</w:t>
      </w:r>
    </w:p>
    <w:p w14:paraId="6994E530">
      <w:pPr>
        <w:pStyle w:val="56"/>
        <w:ind w:firstLine="420"/>
      </w:pPr>
      <w:r>
        <w:rPr>
          <w:rFonts w:hint="eastAsia"/>
        </w:rPr>
        <w:t>GB/T 27962 气象灾害预警信号图标</w:t>
      </w:r>
    </w:p>
    <w:p w14:paraId="1029407A">
      <w:pPr>
        <w:pStyle w:val="56"/>
        <w:ind w:firstLine="420"/>
      </w:pPr>
      <w:r>
        <w:rPr>
          <w:rFonts w:hint="eastAsia"/>
        </w:rPr>
        <w:t>GB/T 40112 地质灾害危险性评估规范</w:t>
      </w:r>
    </w:p>
    <w:p w14:paraId="199B3A3A">
      <w:pPr>
        <w:pStyle w:val="56"/>
        <w:ind w:firstLine="420"/>
      </w:pPr>
      <w:r>
        <w:rPr>
          <w:rFonts w:hint="eastAsia"/>
        </w:rPr>
        <w:t>GB/T 28921 自然灾害分类与代码</w:t>
      </w:r>
    </w:p>
    <w:p w14:paraId="7315757F">
      <w:pPr>
        <w:pStyle w:val="56"/>
        <w:ind w:firstLine="420"/>
      </w:pPr>
      <w:bookmarkStart w:id="49" w:name="OLE_LINK1"/>
      <w:r>
        <w:rPr>
          <w:rFonts w:hint="eastAsia"/>
        </w:rPr>
        <w:t>DB14/T 1647</w:t>
      </w:r>
      <w:bookmarkEnd w:id="49"/>
      <w:r>
        <w:rPr>
          <w:rFonts w:hint="eastAsia"/>
        </w:rPr>
        <w:t xml:space="preserve"> 气象灾害预警规范</w:t>
      </w:r>
    </w:p>
    <w:p w14:paraId="19496C58">
      <w:pPr>
        <w:pStyle w:val="104"/>
        <w:spacing w:before="312" w:after="312"/>
      </w:pPr>
      <w:bookmarkStart w:id="50" w:name="_Toc147655621"/>
      <w:bookmarkStart w:id="51" w:name="_Toc196659054"/>
      <w:bookmarkStart w:id="52" w:name="_Toc97191425"/>
      <w:r>
        <w:rPr>
          <w:rFonts w:hint="eastAsia"/>
          <w:szCs w:val="21"/>
        </w:rPr>
        <w:t>术语和定义</w:t>
      </w:r>
      <w:bookmarkEnd w:id="50"/>
      <w:bookmarkEnd w:id="51"/>
      <w:bookmarkEnd w:id="52"/>
    </w:p>
    <w:sdt>
      <w:sdtPr>
        <w:id w:val="-1909835108"/>
        <w:placeholder>
          <w:docPart w:val="0A8636130EBE4097877817B947DE4B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CE3254">
          <w:pPr>
            <w:pStyle w:val="56"/>
            <w:ind w:firstLine="420"/>
          </w:pPr>
          <w:bookmarkStart w:id="53" w:name="_Toc26986532"/>
          <w:bookmarkEnd w:id="53"/>
          <w:r>
            <w:t>下列术语和定义适用于本文件。</w:t>
          </w:r>
        </w:p>
      </w:sdtContent>
    </w:sdt>
    <w:p w14:paraId="716D897E">
      <w:pPr>
        <w:pStyle w:val="223"/>
        <w:ind w:left="420" w:hanging="420" w:hangingChars="200"/>
        <w:rPr>
          <w:rFonts w:hint="eastAsia" w:ascii="黑体" w:hAnsi="黑体" w:eastAsia="黑体"/>
        </w:rPr>
      </w:pPr>
      <w:r>
        <w:rPr>
          <w:rFonts w:ascii="黑体" w:hAnsi="黑体" w:eastAsia="黑体"/>
        </w:rPr>
        <w:br w:type="textWrapping"/>
      </w:r>
      <w:bookmarkStart w:id="54" w:name="_Hlk147647723"/>
      <w:r>
        <w:rPr>
          <w:rFonts w:hint="eastAsia" w:ascii="黑体" w:hAnsi="黑体" w:eastAsia="黑体"/>
        </w:rPr>
        <w:t>不可移动文物</w:t>
      </w:r>
      <w:bookmarkEnd w:id="54"/>
    </w:p>
    <w:p w14:paraId="1240A3D5">
      <w:pPr>
        <w:pStyle w:val="56"/>
        <w:ind w:firstLine="420"/>
      </w:pPr>
      <w:bookmarkStart w:id="55" w:name="_Hlk195792085"/>
      <w:r>
        <w:rPr>
          <w:rFonts w:hint="eastAsia"/>
        </w:rPr>
        <w:t xml:space="preserve">一般指存于固定场所，体量和规模较大，从保护理念分析不宜被移动，且从工程技术角度分析不易被移动的文物，类型包括古文化遗址、古墓葬、古建筑、石窟寺、古石刻、古壁画、近代现代重要史迹和代表性建筑等。 </w:t>
      </w:r>
    </w:p>
    <w:p w14:paraId="54D9DBFF">
      <w:pPr>
        <w:pStyle w:val="56"/>
        <w:ind w:firstLine="420"/>
      </w:pPr>
      <w:r>
        <w:rPr>
          <w:rFonts w:hint="eastAsia"/>
        </w:rPr>
        <w:t>[来源：中华人民共和国文物保护法，有改动]</w:t>
      </w:r>
      <w:bookmarkEnd w:id="55"/>
    </w:p>
    <w:p w14:paraId="11DA50E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自然灾害 </w:t>
      </w:r>
    </w:p>
    <w:p w14:paraId="7F5E5268">
      <w:pPr>
        <w:pStyle w:val="56"/>
        <w:ind w:firstLine="420"/>
      </w:pPr>
      <w:r>
        <w:rPr>
          <w:rFonts w:hint="eastAsia"/>
        </w:rPr>
        <w:t>由自然因素造成不可移动文物损害的事件或现象。</w:t>
      </w:r>
    </w:p>
    <w:p w14:paraId="52D0660B">
      <w:pPr>
        <w:pStyle w:val="56"/>
        <w:ind w:firstLine="420"/>
        <w:rPr>
          <w:rFonts w:hint="eastAsia" w:ascii="黑体" w:hAnsi="黑体" w:eastAsia="黑体" w:cs="黑体"/>
        </w:rPr>
      </w:pPr>
      <w:r>
        <w:rPr>
          <w:rFonts w:hint="eastAsia"/>
        </w:rPr>
        <w:t>[来源：T/CI 089—2023，3.1.1，有修改]</w:t>
      </w:r>
    </w:p>
    <w:p w14:paraId="0A8BD63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应急响应等级 </w:t>
      </w:r>
    </w:p>
    <w:p w14:paraId="31A4DC03">
      <w:pPr>
        <w:pStyle w:val="56"/>
        <w:ind w:firstLine="420"/>
      </w:pPr>
      <w:r>
        <w:rPr>
          <w:rFonts w:hint="eastAsia"/>
        </w:rPr>
        <w:t>根据灾害种类及强度、不可移动文物类型、价值、保存状况及其所处环境情况而确定的响应级别，响应等级由一级至四级依次减弱,以此为应急响应中的各种应急反应行动提供基本依据。</w:t>
      </w:r>
    </w:p>
    <w:p w14:paraId="1C991A23">
      <w:pPr>
        <w:pStyle w:val="56"/>
        <w:ind w:firstLine="420"/>
      </w:pPr>
      <w:bookmarkStart w:id="56" w:name="OLE_LINK27"/>
      <w:r>
        <w:rPr>
          <w:rFonts w:hint="eastAsia"/>
        </w:rPr>
        <w:t>[来源：T/CI 089—2023，5.7.5，有修动]</w:t>
      </w:r>
      <w:bookmarkEnd w:id="56"/>
    </w:p>
    <w:p w14:paraId="1D34E57A">
      <w:pPr>
        <w:pStyle w:val="223"/>
        <w:ind w:left="420" w:hanging="420" w:hangingChars="200"/>
        <w:rPr>
          <w:rFonts w:hint="eastAsia" w:ascii="黑体" w:hAnsi="黑体" w:eastAsia="黑体" w:cs="黑体"/>
        </w:rPr>
      </w:pPr>
      <w:r>
        <w:rPr>
          <w:rFonts w:ascii="黑体" w:hAnsi="黑体" w:eastAsia="黑体"/>
        </w:rPr>
        <w:br w:type="textWrapping"/>
      </w:r>
      <w:r>
        <w:rPr>
          <w:rFonts w:hint="eastAsia" w:ascii="黑体" w:hAnsi="黑体" w:eastAsia="黑体"/>
        </w:rPr>
        <w:t xml:space="preserve">文物建筑 </w:t>
      </w:r>
    </w:p>
    <w:p w14:paraId="11542B13">
      <w:pPr>
        <w:pStyle w:val="56"/>
        <w:ind w:firstLine="420"/>
      </w:pPr>
      <w:r>
        <w:rPr>
          <w:rFonts w:hint="eastAsia"/>
        </w:rPr>
        <w:t>文物建筑是指被文物部门核定为各级文物保护单位和登记公布的不可移动文物，具有历史、艺术、科学、社会及文化价值的古建筑、近现代史迹及代表性建筑、革命旧址和纪念性建筑以及历史文化名城、名镇、名村中的建筑等。</w:t>
      </w:r>
    </w:p>
    <w:p w14:paraId="0241C7C8">
      <w:pPr>
        <w:pStyle w:val="56"/>
        <w:ind w:firstLine="420"/>
      </w:pPr>
      <w:r>
        <w:rPr>
          <w:rFonts w:hint="eastAsia"/>
        </w:rPr>
        <w:t>[来源：</w:t>
      </w:r>
      <w:bookmarkStart w:id="57" w:name="OLE_LINK24"/>
      <w:r>
        <w:rPr>
          <w:rFonts w:hint="eastAsia"/>
        </w:rPr>
        <w:t>文物建筑健康监测技术规范</w:t>
      </w:r>
      <w:bookmarkEnd w:id="57"/>
      <w:r>
        <w:rPr>
          <w:rFonts w:hint="eastAsia"/>
        </w:rPr>
        <w:t>]</w:t>
      </w:r>
    </w:p>
    <w:p w14:paraId="388C6949">
      <w:pPr>
        <w:pStyle w:val="104"/>
        <w:spacing w:before="312" w:after="312"/>
      </w:pPr>
      <w:bookmarkStart w:id="58" w:name="_Toc147655622"/>
      <w:bookmarkStart w:id="59" w:name="_Toc196659055"/>
      <w:r>
        <w:rPr>
          <w:rFonts w:hint="eastAsia"/>
        </w:rPr>
        <w:t>4　应急响应等级</w:t>
      </w:r>
      <w:bookmarkEnd w:id="58"/>
      <w:r>
        <w:rPr>
          <w:rFonts w:hint="eastAsia"/>
        </w:rPr>
        <w:t>评定</w:t>
      </w:r>
      <w:bookmarkEnd w:id="59"/>
    </w:p>
    <w:p w14:paraId="7DAFF4AD">
      <w:pPr>
        <w:pStyle w:val="105"/>
        <w:spacing w:before="156" w:after="156"/>
      </w:pPr>
      <w:bookmarkStart w:id="60" w:name="_Toc196659056"/>
      <w:bookmarkStart w:id="61" w:name="_Toc147655623"/>
      <w:r>
        <w:rPr>
          <w:rFonts w:hint="eastAsia"/>
        </w:rPr>
        <w:t>气象灾害</w:t>
      </w:r>
      <w:bookmarkEnd w:id="60"/>
      <w:bookmarkEnd w:id="61"/>
    </w:p>
    <w:p w14:paraId="624A84E9">
      <w:pPr>
        <w:pStyle w:val="165"/>
      </w:pPr>
      <w:r>
        <w:rPr>
          <w:rFonts w:hint="eastAsia"/>
        </w:rPr>
        <w:t>一般规定</w:t>
      </w:r>
    </w:p>
    <w:p w14:paraId="5FD9C66B">
      <w:pPr>
        <w:pStyle w:val="56"/>
        <w:ind w:firstLine="420"/>
      </w:pPr>
      <w:r>
        <w:rPr>
          <w:rFonts w:hint="eastAsia"/>
        </w:rPr>
        <w:t>气象灾害包括暴雨、冰雹、暴雪、雷电、大风、沙尘暴六类，</w:t>
      </w:r>
      <w:bookmarkStart w:id="62" w:name="_Hlk193186668"/>
      <w:r>
        <w:rPr>
          <w:rFonts w:hint="eastAsia"/>
        </w:rPr>
        <w:t>气象灾害应急响应等级应根据GB/T 27962、DB/T 1647有关规定，并结合不可移动文物类型、价值、保存状况和环境情况等综合判断后确定。</w:t>
      </w:r>
    </w:p>
    <w:bookmarkEnd w:id="62"/>
    <w:p w14:paraId="409DE6AA">
      <w:pPr>
        <w:pStyle w:val="165"/>
      </w:pPr>
      <w:r>
        <w:rPr>
          <w:rFonts w:hint="eastAsia"/>
        </w:rPr>
        <w:t>Ⅰ级响应等级</w:t>
      </w:r>
    </w:p>
    <w:p w14:paraId="04A6E1E7">
      <w:pPr>
        <w:pStyle w:val="56"/>
        <w:ind w:firstLine="420"/>
      </w:pPr>
      <w:r>
        <w:rPr>
          <w:rFonts w:hint="eastAsia"/>
        </w:rPr>
        <w:t>不可移动文物出现下列情况之一者，可确定为Ⅰ级响应：</w:t>
      </w:r>
    </w:p>
    <w:p w14:paraId="1134FBBD">
      <w:pPr>
        <w:pStyle w:val="174"/>
      </w:pPr>
      <w:r>
        <w:rPr>
          <w:rFonts w:hint="eastAsia"/>
        </w:rPr>
        <w:t>暴雨、冰雹、暴雪红色预警区域内，屋面存在漏雨、排水不畅现象的文物建筑；</w:t>
      </w:r>
    </w:p>
    <w:p w14:paraId="38AA4A91">
      <w:pPr>
        <w:pStyle w:val="174"/>
      </w:pPr>
      <w:r>
        <w:rPr>
          <w:rFonts w:hint="eastAsia"/>
        </w:rPr>
        <w:t>暴雨、冰雹、暴雪红色预警区域内，受力结构存在变形、损伤现象的文物建筑；</w:t>
      </w:r>
    </w:p>
    <w:p w14:paraId="77FB6C65">
      <w:pPr>
        <w:pStyle w:val="174"/>
      </w:pPr>
      <w:r>
        <w:rPr>
          <w:rFonts w:hint="eastAsia"/>
        </w:rPr>
        <w:t>暴雨、冰雹、暴雪红色预警区域内，基础存在变形、损伤现象或者位于采空区的文物建筑；</w:t>
      </w:r>
    </w:p>
    <w:p w14:paraId="037A6917">
      <w:pPr>
        <w:pStyle w:val="174"/>
      </w:pPr>
      <w:r>
        <w:rPr>
          <w:rFonts w:hint="eastAsia"/>
        </w:rPr>
        <w:t>雷电红色预警区域内，缺乏防雷设施或原有绝缘状态发生改变的高耸的文物建筑；</w:t>
      </w:r>
    </w:p>
    <w:p w14:paraId="0A1E375A">
      <w:pPr>
        <w:pStyle w:val="174"/>
      </w:pPr>
      <w:r>
        <w:rPr>
          <w:rFonts w:hint="eastAsia"/>
        </w:rPr>
        <w:t>大风、沙尘暴红色预警区域内，位于高地、风口、旷野处高耸的文物建筑；</w:t>
      </w:r>
    </w:p>
    <w:p w14:paraId="443E40AD">
      <w:pPr>
        <w:pStyle w:val="174"/>
      </w:pPr>
      <w:r>
        <w:rPr>
          <w:rFonts w:hint="eastAsia"/>
        </w:rPr>
        <w:t>暴雨、冰雹、暴雪红色预警区域内，缺乏保护性设施的露明古遗址、古墓葬；</w:t>
      </w:r>
    </w:p>
    <w:p w14:paraId="2344038B">
      <w:pPr>
        <w:pStyle w:val="174"/>
      </w:pPr>
      <w:r>
        <w:rPr>
          <w:rFonts w:hint="eastAsia"/>
        </w:rPr>
        <w:t>暴雨、冰雹、暴雪红色预警区域内，完全暴露在野外或者保护范围内存在未有效加固危岩体可能对游客和文物本体造成威胁的石窟寺及石刻；</w:t>
      </w:r>
    </w:p>
    <w:p w14:paraId="0348A50C">
      <w:pPr>
        <w:pStyle w:val="174"/>
      </w:pPr>
      <w:r>
        <w:rPr>
          <w:rFonts w:hint="eastAsia"/>
        </w:rPr>
        <w:t>暴雨、暴雪红色预警区域内，位于低洼处或部分文物单体低于现地坪的不可移动文物。</w:t>
      </w:r>
    </w:p>
    <w:p w14:paraId="14F05DA8">
      <w:pPr>
        <w:pStyle w:val="165"/>
      </w:pPr>
      <w:r>
        <w:rPr>
          <w:rFonts w:hint="eastAsia"/>
        </w:rPr>
        <w:t>Ⅱ级响应等级</w:t>
      </w:r>
    </w:p>
    <w:p w14:paraId="6445B486">
      <w:pPr>
        <w:pStyle w:val="56"/>
        <w:ind w:firstLine="420"/>
      </w:pPr>
      <w:r>
        <w:rPr>
          <w:rFonts w:hint="eastAsia"/>
        </w:rPr>
        <w:t>不可移动文物出现下列情况之一者，可确定为</w:t>
      </w:r>
      <w:bookmarkStart w:id="63" w:name="OLE_LINK14"/>
      <w:r>
        <w:rPr>
          <w:rFonts w:hint="eastAsia"/>
        </w:rPr>
        <w:t>Ⅱ</w:t>
      </w:r>
      <w:bookmarkEnd w:id="63"/>
      <w:r>
        <w:rPr>
          <w:rFonts w:hint="eastAsia"/>
        </w:rPr>
        <w:t>级响应：</w:t>
      </w:r>
    </w:p>
    <w:p w14:paraId="612B55E4">
      <w:pPr>
        <w:pStyle w:val="174"/>
        <w:numPr>
          <w:ilvl w:val="0"/>
          <w:numId w:val="32"/>
        </w:numPr>
      </w:pPr>
      <w:r>
        <w:rPr>
          <w:rFonts w:hint="eastAsia"/>
        </w:rPr>
        <w:t>暴雨、冰雹、暴雪橙色预警区域内，屋面存在漏雨、排水不畅现象的文物建筑；</w:t>
      </w:r>
    </w:p>
    <w:p w14:paraId="568AE42B">
      <w:pPr>
        <w:pStyle w:val="174"/>
        <w:numPr>
          <w:ilvl w:val="0"/>
          <w:numId w:val="32"/>
        </w:numPr>
      </w:pPr>
      <w:r>
        <w:rPr>
          <w:rFonts w:hint="eastAsia"/>
        </w:rPr>
        <w:t>暴雨、冰雹、暴雪橙色预警区域内，受力结构存在变形、损伤现象的文物建筑；</w:t>
      </w:r>
    </w:p>
    <w:p w14:paraId="29602562">
      <w:pPr>
        <w:pStyle w:val="174"/>
        <w:numPr>
          <w:ilvl w:val="0"/>
          <w:numId w:val="32"/>
        </w:numPr>
      </w:pPr>
      <w:r>
        <w:rPr>
          <w:rFonts w:hint="eastAsia"/>
        </w:rPr>
        <w:t>暴雨、冰雹、暴雪橙色预警区域内，基础存在变形、损伤现象或者位于采空区的文物建筑；</w:t>
      </w:r>
    </w:p>
    <w:p w14:paraId="6886D952">
      <w:pPr>
        <w:pStyle w:val="174"/>
        <w:numPr>
          <w:ilvl w:val="0"/>
          <w:numId w:val="32"/>
        </w:numPr>
      </w:pPr>
      <w:r>
        <w:rPr>
          <w:rFonts w:hint="eastAsia"/>
        </w:rPr>
        <w:t>雷电橙色预警区域内，缺乏防雷设施或原有绝缘状态发生改变的高耸的文物建筑；</w:t>
      </w:r>
    </w:p>
    <w:p w14:paraId="184C0BE3">
      <w:pPr>
        <w:pStyle w:val="174"/>
        <w:numPr>
          <w:ilvl w:val="0"/>
          <w:numId w:val="32"/>
        </w:numPr>
      </w:pPr>
      <w:r>
        <w:rPr>
          <w:rFonts w:hint="eastAsia"/>
        </w:rPr>
        <w:t>大风、沙尘暴橙色预警区域内，位于高地、风口、旷野处高耸的文物建筑；</w:t>
      </w:r>
    </w:p>
    <w:p w14:paraId="3870C8ED">
      <w:pPr>
        <w:pStyle w:val="174"/>
        <w:numPr>
          <w:ilvl w:val="0"/>
          <w:numId w:val="32"/>
        </w:numPr>
      </w:pPr>
      <w:r>
        <w:rPr>
          <w:rFonts w:hint="eastAsia"/>
        </w:rPr>
        <w:t>暴雨、冰雹、暴雪橙色预警区域内，缺乏保护性设施的露明古遗址、古墓葬；</w:t>
      </w:r>
    </w:p>
    <w:p w14:paraId="59D8EE2F">
      <w:pPr>
        <w:pStyle w:val="174"/>
        <w:numPr>
          <w:ilvl w:val="0"/>
          <w:numId w:val="32"/>
        </w:numPr>
      </w:pPr>
      <w:r>
        <w:rPr>
          <w:rFonts w:hint="eastAsia"/>
        </w:rPr>
        <w:t>暴雨、冰雹、暴雪橙色预警区域内，完全暴露在野外或者保护范围内存在未有效加固危岩体可能对游客和文物本体造成威胁的石窟寺及石刻；</w:t>
      </w:r>
    </w:p>
    <w:p w14:paraId="723662DA">
      <w:pPr>
        <w:pStyle w:val="174"/>
        <w:numPr>
          <w:ilvl w:val="0"/>
          <w:numId w:val="32"/>
        </w:numPr>
      </w:pPr>
      <w:r>
        <w:rPr>
          <w:rFonts w:hint="eastAsia"/>
        </w:rPr>
        <w:t>暴雨、暴雪橙色预警区域内，位于低洼处或部分文物单体低于现地坪的不可移动文物。</w:t>
      </w:r>
    </w:p>
    <w:p w14:paraId="2B7B46F9">
      <w:pPr>
        <w:pStyle w:val="165"/>
      </w:pPr>
      <w:r>
        <w:rPr>
          <w:rFonts w:hint="eastAsia"/>
        </w:rPr>
        <w:t>Ⅲ级响应等级</w:t>
      </w:r>
    </w:p>
    <w:p w14:paraId="335E8903">
      <w:pPr>
        <w:pStyle w:val="56"/>
        <w:ind w:firstLine="420"/>
      </w:pPr>
      <w:r>
        <w:rPr>
          <w:rFonts w:hint="eastAsia"/>
        </w:rPr>
        <w:t>不可移动文物出现下列情况之一者，可确定为</w:t>
      </w:r>
      <w:bookmarkStart w:id="64" w:name="OLE_LINK17"/>
      <w:r>
        <w:rPr>
          <w:rFonts w:hint="eastAsia"/>
        </w:rPr>
        <w:t>Ⅲ</w:t>
      </w:r>
      <w:bookmarkEnd w:id="64"/>
      <w:r>
        <w:rPr>
          <w:rFonts w:hint="eastAsia"/>
        </w:rPr>
        <w:t>级响应：</w:t>
      </w:r>
    </w:p>
    <w:p w14:paraId="4CBB07AA">
      <w:pPr>
        <w:pStyle w:val="174"/>
        <w:numPr>
          <w:ilvl w:val="0"/>
          <w:numId w:val="33"/>
        </w:numPr>
      </w:pPr>
      <w:r>
        <w:rPr>
          <w:rFonts w:hint="eastAsia"/>
        </w:rPr>
        <w:t>暴雨、暴雪黄色预警区域内，屋面存在漏雨、排水不畅现象的文物建筑；</w:t>
      </w:r>
    </w:p>
    <w:p w14:paraId="3E21DADA">
      <w:pPr>
        <w:pStyle w:val="174"/>
        <w:numPr>
          <w:ilvl w:val="0"/>
          <w:numId w:val="33"/>
        </w:numPr>
      </w:pPr>
      <w:r>
        <w:rPr>
          <w:rFonts w:hint="eastAsia"/>
        </w:rPr>
        <w:t>暴雨、暴雪黄色预警区域内，受力结构存在变形、损伤现象的文物建筑；</w:t>
      </w:r>
    </w:p>
    <w:p w14:paraId="33D5ABB9">
      <w:pPr>
        <w:pStyle w:val="174"/>
        <w:numPr>
          <w:ilvl w:val="0"/>
          <w:numId w:val="33"/>
        </w:numPr>
      </w:pPr>
      <w:r>
        <w:rPr>
          <w:rFonts w:hint="eastAsia"/>
        </w:rPr>
        <w:t>暴雨、暴雪黄色预警区域内，基础存在变形、损伤现象或者位于采空区的文物建筑；</w:t>
      </w:r>
    </w:p>
    <w:p w14:paraId="27299979">
      <w:pPr>
        <w:pStyle w:val="174"/>
        <w:numPr>
          <w:ilvl w:val="0"/>
          <w:numId w:val="33"/>
        </w:numPr>
      </w:pPr>
      <w:r>
        <w:rPr>
          <w:rFonts w:hint="eastAsia"/>
        </w:rPr>
        <w:t>雷电黄色预警区域内，缺乏防雷设施或原有绝缘状态发生改变的高耸的文物建筑；</w:t>
      </w:r>
    </w:p>
    <w:p w14:paraId="01F17274">
      <w:pPr>
        <w:pStyle w:val="174"/>
        <w:numPr>
          <w:ilvl w:val="0"/>
          <w:numId w:val="33"/>
        </w:numPr>
      </w:pPr>
      <w:r>
        <w:rPr>
          <w:rFonts w:hint="eastAsia"/>
        </w:rPr>
        <w:t>大风、沙尘暴黄色预警区域内，位于高地、风口、旷野处高耸的文物建筑；</w:t>
      </w:r>
    </w:p>
    <w:p w14:paraId="26C08829">
      <w:pPr>
        <w:pStyle w:val="174"/>
        <w:numPr>
          <w:ilvl w:val="0"/>
          <w:numId w:val="33"/>
        </w:numPr>
      </w:pPr>
      <w:r>
        <w:rPr>
          <w:rFonts w:hint="eastAsia"/>
        </w:rPr>
        <w:t>暴雨、暴雪黄色预警区域内，缺乏保护性设施的露明古遗址、古墓葬；</w:t>
      </w:r>
    </w:p>
    <w:p w14:paraId="43345354">
      <w:pPr>
        <w:pStyle w:val="174"/>
        <w:numPr>
          <w:ilvl w:val="0"/>
          <w:numId w:val="33"/>
        </w:numPr>
      </w:pPr>
      <w:r>
        <w:rPr>
          <w:rFonts w:hint="eastAsia"/>
        </w:rPr>
        <w:t>暴雨、暴雪黄色预警区域内，完全暴露在野外或者保护范围内存在未有效加固危岩体可能对游客和文物本体造成威胁的石窟寺及石刻；</w:t>
      </w:r>
    </w:p>
    <w:p w14:paraId="496DA478">
      <w:pPr>
        <w:pStyle w:val="174"/>
        <w:numPr>
          <w:ilvl w:val="0"/>
          <w:numId w:val="33"/>
        </w:numPr>
      </w:pPr>
      <w:r>
        <w:rPr>
          <w:rFonts w:hint="eastAsia"/>
        </w:rPr>
        <w:t>暴雨、暴雪黄色预警区域内，位于低洼处或部分文物单体低于现地坪的不可移动文物。</w:t>
      </w:r>
    </w:p>
    <w:p w14:paraId="0E4B591A">
      <w:pPr>
        <w:pStyle w:val="165"/>
      </w:pPr>
      <w:r>
        <w:rPr>
          <w:rFonts w:hint="eastAsia"/>
        </w:rPr>
        <w:t>Ⅳ级响应等级</w:t>
      </w:r>
    </w:p>
    <w:p w14:paraId="7BA5F530">
      <w:pPr>
        <w:pStyle w:val="56"/>
        <w:ind w:firstLine="420"/>
      </w:pPr>
      <w:r>
        <w:rPr>
          <w:rFonts w:hint="eastAsia"/>
        </w:rPr>
        <w:t>不可移动文物出现下列情况之一者，可确定为Ⅳ级响应：</w:t>
      </w:r>
    </w:p>
    <w:p w14:paraId="28BC1BDD">
      <w:pPr>
        <w:pStyle w:val="174"/>
        <w:numPr>
          <w:ilvl w:val="0"/>
          <w:numId w:val="34"/>
        </w:numPr>
      </w:pPr>
      <w:bookmarkStart w:id="65" w:name="_Toc147655624"/>
      <w:r>
        <w:rPr>
          <w:rFonts w:hint="eastAsia"/>
        </w:rPr>
        <w:t>暴雨、暴雪蓝色预警区域内，屋面存在漏雨、排水不畅现象的文物建筑；</w:t>
      </w:r>
    </w:p>
    <w:p w14:paraId="5385B6A4">
      <w:pPr>
        <w:pStyle w:val="174"/>
        <w:numPr>
          <w:ilvl w:val="0"/>
          <w:numId w:val="34"/>
        </w:numPr>
      </w:pPr>
      <w:r>
        <w:rPr>
          <w:rFonts w:hint="eastAsia"/>
        </w:rPr>
        <w:t>暴雨、暴雪蓝色预警区域内，受力结构存在变形、损伤现象的文物建筑；</w:t>
      </w:r>
    </w:p>
    <w:p w14:paraId="4BBC84C0">
      <w:pPr>
        <w:pStyle w:val="174"/>
        <w:numPr>
          <w:ilvl w:val="0"/>
          <w:numId w:val="34"/>
        </w:numPr>
      </w:pPr>
      <w:r>
        <w:rPr>
          <w:rFonts w:hint="eastAsia"/>
        </w:rPr>
        <w:t>暴雨、暴雪蓝色预警区域内，基础存在变形、损伤现象或者位于采空区的文物建筑；</w:t>
      </w:r>
    </w:p>
    <w:p w14:paraId="1A3D850E">
      <w:pPr>
        <w:pStyle w:val="174"/>
        <w:numPr>
          <w:ilvl w:val="0"/>
          <w:numId w:val="34"/>
        </w:numPr>
      </w:pPr>
      <w:r>
        <w:rPr>
          <w:rFonts w:hint="eastAsia"/>
        </w:rPr>
        <w:t>大风蓝色预警区域内，位于高地、风口、旷野处高耸的文物建筑；</w:t>
      </w:r>
    </w:p>
    <w:p w14:paraId="4526329E">
      <w:pPr>
        <w:pStyle w:val="174"/>
        <w:numPr>
          <w:ilvl w:val="0"/>
          <w:numId w:val="34"/>
        </w:numPr>
      </w:pPr>
      <w:r>
        <w:rPr>
          <w:rFonts w:hint="eastAsia"/>
        </w:rPr>
        <w:t>暴雨、暴雪蓝色预警区域内，缺乏保护性设施的露明古遗址、古墓葬；</w:t>
      </w:r>
    </w:p>
    <w:p w14:paraId="6570AAA4">
      <w:pPr>
        <w:pStyle w:val="174"/>
        <w:numPr>
          <w:ilvl w:val="0"/>
          <w:numId w:val="34"/>
        </w:numPr>
      </w:pPr>
      <w:r>
        <w:rPr>
          <w:rFonts w:hint="eastAsia"/>
        </w:rPr>
        <w:t>暴雨、暴雪蓝色预警区域内，完全暴露在野外或者保护范围内存在未有效加固危岩体可能对游客和文物本体造成威胁的石窟寺及石刻；</w:t>
      </w:r>
    </w:p>
    <w:p w14:paraId="2E4F4E37">
      <w:pPr>
        <w:pStyle w:val="174"/>
        <w:numPr>
          <w:ilvl w:val="0"/>
          <w:numId w:val="34"/>
        </w:numPr>
      </w:pPr>
      <w:r>
        <w:rPr>
          <w:rFonts w:hint="eastAsia"/>
        </w:rPr>
        <w:t>暴雨、暴雪蓝色预警区域内，位于低洼处或部分文物单体低于现地坪的不可移动文物。</w:t>
      </w:r>
    </w:p>
    <w:p w14:paraId="33785864">
      <w:pPr>
        <w:pStyle w:val="105"/>
        <w:spacing w:before="156" w:after="156"/>
      </w:pPr>
      <w:bookmarkStart w:id="66" w:name="_Toc196659057"/>
      <w:r>
        <w:rPr>
          <w:rFonts w:hint="eastAsia"/>
        </w:rPr>
        <w:t>水文灾害</w:t>
      </w:r>
      <w:bookmarkEnd w:id="65"/>
      <w:bookmarkEnd w:id="66"/>
    </w:p>
    <w:p w14:paraId="2AE3C7F3">
      <w:pPr>
        <w:pStyle w:val="165"/>
      </w:pPr>
      <w:r>
        <w:rPr>
          <w:rFonts w:hint="eastAsia"/>
        </w:rPr>
        <w:t>一般规定</w:t>
      </w:r>
    </w:p>
    <w:p w14:paraId="7F7A8406">
      <w:pPr>
        <w:pStyle w:val="56"/>
        <w:ind w:firstLine="420"/>
      </w:pPr>
      <w:bookmarkStart w:id="67" w:name="_Hlk193188234"/>
      <w:r>
        <w:rPr>
          <w:rFonts w:hint="eastAsia"/>
        </w:rPr>
        <w:t>水文灾害包括河流洪水灾害、渍涝灾害以及山洪灾害三类，应急响应等级根据山西省防汛抗旱应急预案，并结合文物类型、价值、本体保存情况和环境情况等综合判断后确定。</w:t>
      </w:r>
    </w:p>
    <w:bookmarkEnd w:id="67"/>
    <w:p w14:paraId="1A27D6B7">
      <w:pPr>
        <w:pStyle w:val="165"/>
      </w:pPr>
      <w:bookmarkStart w:id="68" w:name="bookmark28"/>
      <w:bookmarkEnd w:id="68"/>
      <w:bookmarkStart w:id="69" w:name="bookmark27"/>
      <w:bookmarkEnd w:id="69"/>
      <w:r>
        <w:rPr>
          <w:rFonts w:hint="eastAsia"/>
        </w:rPr>
        <w:t>Ⅰ级响应等级</w:t>
      </w:r>
    </w:p>
    <w:p w14:paraId="0564D9C4">
      <w:pPr>
        <w:pStyle w:val="56"/>
        <w:ind w:firstLine="420"/>
      </w:pPr>
      <w:r>
        <w:rPr>
          <w:rFonts w:hint="eastAsia"/>
        </w:rPr>
        <w:t>处于防汛一级应急响应区内的</w:t>
      </w:r>
      <w:bookmarkStart w:id="70" w:name="OLE_LINK22"/>
      <w:r>
        <w:rPr>
          <w:rFonts w:hint="eastAsia"/>
        </w:rPr>
        <w:t>不可移动文物</w:t>
      </w:r>
      <w:bookmarkEnd w:id="70"/>
      <w:r>
        <w:rPr>
          <w:rFonts w:hint="eastAsia"/>
        </w:rPr>
        <w:t>出现下列情况之一者，可确定为Ⅰ级响应：</w:t>
      </w:r>
    </w:p>
    <w:p w14:paraId="0902D8EC">
      <w:pPr>
        <w:pStyle w:val="174"/>
        <w:numPr>
          <w:ilvl w:val="0"/>
          <w:numId w:val="35"/>
        </w:numPr>
      </w:pPr>
      <w:r>
        <w:rPr>
          <w:rFonts w:hint="eastAsia"/>
        </w:rPr>
        <w:t>位于河道上且结构存在失稳现象的桥梁文物；</w:t>
      </w:r>
    </w:p>
    <w:p w14:paraId="4D48895C">
      <w:pPr>
        <w:pStyle w:val="174"/>
        <w:numPr>
          <w:ilvl w:val="0"/>
          <w:numId w:val="35"/>
        </w:numPr>
      </w:pPr>
      <w:r>
        <w:rPr>
          <w:rFonts w:hint="eastAsia"/>
        </w:rPr>
        <w:t>位于河道两侧且存在未有效加固危岩体的文物建筑、石窟寺及石刻；</w:t>
      </w:r>
    </w:p>
    <w:p w14:paraId="72CA6E07">
      <w:pPr>
        <w:pStyle w:val="174"/>
        <w:numPr>
          <w:ilvl w:val="0"/>
          <w:numId w:val="35"/>
        </w:numPr>
      </w:pPr>
      <w:r>
        <w:rPr>
          <w:rFonts w:hint="eastAsia"/>
        </w:rPr>
        <w:t>位于河谷上或者采空区的不可移动文物；</w:t>
      </w:r>
    </w:p>
    <w:p w14:paraId="29E4BA23">
      <w:pPr>
        <w:pStyle w:val="174"/>
        <w:numPr>
          <w:ilvl w:val="0"/>
          <w:numId w:val="35"/>
        </w:numPr>
      </w:pPr>
      <w:bookmarkStart w:id="71" w:name="_Hlk193188958"/>
      <w:r>
        <w:rPr>
          <w:rFonts w:hint="eastAsia"/>
        </w:rPr>
        <w:t>位于低洼处或部分文物单体低于现地坪的不可移动文物</w:t>
      </w:r>
      <w:bookmarkEnd w:id="71"/>
      <w:r>
        <w:rPr>
          <w:rFonts w:hint="eastAsia"/>
        </w:rPr>
        <w:t>；</w:t>
      </w:r>
    </w:p>
    <w:p w14:paraId="46C59C64">
      <w:pPr>
        <w:pStyle w:val="174"/>
        <w:numPr>
          <w:ilvl w:val="0"/>
          <w:numId w:val="35"/>
        </w:numPr>
      </w:pPr>
      <w:r>
        <w:rPr>
          <w:rFonts w:hint="eastAsia"/>
        </w:rPr>
        <w:t>保护范围最低处已经被淹没或者可能被淹没的不可移动文物。</w:t>
      </w:r>
    </w:p>
    <w:p w14:paraId="260D93B4">
      <w:pPr>
        <w:pStyle w:val="165"/>
      </w:pPr>
      <w:bookmarkStart w:id="72" w:name="bookmark29"/>
      <w:bookmarkEnd w:id="72"/>
      <w:bookmarkStart w:id="73" w:name="bookmark30"/>
      <w:bookmarkEnd w:id="73"/>
      <w:r>
        <w:rPr>
          <w:rFonts w:hint="eastAsia"/>
        </w:rPr>
        <w:t>Ⅱ级响应等级</w:t>
      </w:r>
    </w:p>
    <w:p w14:paraId="71E81F07">
      <w:pPr>
        <w:pStyle w:val="56"/>
        <w:ind w:firstLine="420"/>
      </w:pPr>
      <w:r>
        <w:rPr>
          <w:rFonts w:hint="eastAsia"/>
        </w:rPr>
        <w:t>处于防汛二级应急响应区内的不可移动文物出现下列情况之一者，可确定为Ⅱ级响应：</w:t>
      </w:r>
    </w:p>
    <w:p w14:paraId="70FB4A0C">
      <w:pPr>
        <w:pStyle w:val="174"/>
        <w:numPr>
          <w:ilvl w:val="0"/>
          <w:numId w:val="36"/>
        </w:numPr>
      </w:pPr>
      <w:r>
        <w:rPr>
          <w:rFonts w:hint="eastAsia"/>
        </w:rPr>
        <w:t>位于河道上且结构存在失稳现象的桥梁文物；</w:t>
      </w:r>
    </w:p>
    <w:p w14:paraId="7354ADF6">
      <w:pPr>
        <w:pStyle w:val="174"/>
        <w:numPr>
          <w:ilvl w:val="0"/>
          <w:numId w:val="36"/>
        </w:numPr>
      </w:pPr>
      <w:r>
        <w:rPr>
          <w:rFonts w:hint="eastAsia"/>
        </w:rPr>
        <w:t>位于河道两侧且存在未有效加固危岩体的文物建筑、石窟寺及石刻；</w:t>
      </w:r>
    </w:p>
    <w:p w14:paraId="12A29D19">
      <w:pPr>
        <w:pStyle w:val="174"/>
        <w:numPr>
          <w:ilvl w:val="0"/>
          <w:numId w:val="36"/>
        </w:numPr>
      </w:pPr>
      <w:r>
        <w:rPr>
          <w:rFonts w:hint="eastAsia"/>
        </w:rPr>
        <w:t>位于河谷上或者采空区的不可移动文物；</w:t>
      </w:r>
    </w:p>
    <w:p w14:paraId="03717CC3">
      <w:pPr>
        <w:pStyle w:val="174"/>
        <w:numPr>
          <w:ilvl w:val="0"/>
          <w:numId w:val="36"/>
        </w:numPr>
      </w:pPr>
      <w:r>
        <w:rPr>
          <w:rFonts w:hint="eastAsia"/>
        </w:rPr>
        <w:t>位于低洼处或部分文物单体低于现地坪的不可移动文物；</w:t>
      </w:r>
    </w:p>
    <w:p w14:paraId="33CBEC8E">
      <w:pPr>
        <w:pStyle w:val="174"/>
        <w:numPr>
          <w:ilvl w:val="0"/>
          <w:numId w:val="36"/>
        </w:numPr>
      </w:pPr>
      <w:r>
        <w:rPr>
          <w:rFonts w:hint="eastAsia"/>
        </w:rPr>
        <w:t>保护范围最低处位于淹没水位线以上10米范围内的文物建筑、古遗址、古墓葬。</w:t>
      </w:r>
    </w:p>
    <w:p w14:paraId="313EC167">
      <w:pPr>
        <w:pStyle w:val="165"/>
      </w:pPr>
      <w:r>
        <w:rPr>
          <w:rFonts w:hint="eastAsia"/>
        </w:rPr>
        <w:t>Ⅲ级响应等级</w:t>
      </w:r>
    </w:p>
    <w:p w14:paraId="4F8E60A3">
      <w:pPr>
        <w:pStyle w:val="56"/>
        <w:ind w:firstLine="420"/>
      </w:pPr>
      <w:r>
        <w:rPr>
          <w:rFonts w:hint="eastAsia"/>
        </w:rPr>
        <w:t>处于防汛三级应急响应区内的不可移动文物出现下列情况之一者，可确定为Ⅲ级响应：</w:t>
      </w:r>
    </w:p>
    <w:p w14:paraId="241E2D5A">
      <w:pPr>
        <w:pStyle w:val="174"/>
        <w:numPr>
          <w:ilvl w:val="0"/>
          <w:numId w:val="37"/>
        </w:numPr>
      </w:pPr>
      <w:r>
        <w:rPr>
          <w:rFonts w:hint="eastAsia"/>
        </w:rPr>
        <w:t>位于河道上且结构存在失稳现象的桥梁文物；</w:t>
      </w:r>
    </w:p>
    <w:p w14:paraId="34BE8AE5">
      <w:pPr>
        <w:pStyle w:val="174"/>
        <w:numPr>
          <w:ilvl w:val="0"/>
          <w:numId w:val="37"/>
        </w:numPr>
      </w:pPr>
      <w:r>
        <w:rPr>
          <w:rFonts w:hint="eastAsia"/>
        </w:rPr>
        <w:t>位于河道两侧且存在未有效加固危岩体的文物建筑、石窟寺及石刻；</w:t>
      </w:r>
    </w:p>
    <w:p w14:paraId="0CE34BAF">
      <w:pPr>
        <w:pStyle w:val="174"/>
        <w:numPr>
          <w:ilvl w:val="0"/>
          <w:numId w:val="37"/>
        </w:numPr>
      </w:pPr>
      <w:r>
        <w:rPr>
          <w:rFonts w:hint="eastAsia"/>
        </w:rPr>
        <w:t>位于河谷上或者采空区的不可移动文物；</w:t>
      </w:r>
    </w:p>
    <w:p w14:paraId="06DB3FE9">
      <w:pPr>
        <w:pStyle w:val="174"/>
        <w:numPr>
          <w:ilvl w:val="0"/>
          <w:numId w:val="37"/>
        </w:numPr>
      </w:pPr>
      <w:r>
        <w:rPr>
          <w:rFonts w:hint="eastAsia"/>
        </w:rPr>
        <w:t>位于低洼处或部分文物单体低于现地坪的不可移动文物；</w:t>
      </w:r>
    </w:p>
    <w:p w14:paraId="242F7E20">
      <w:pPr>
        <w:pStyle w:val="174"/>
        <w:numPr>
          <w:ilvl w:val="0"/>
          <w:numId w:val="37"/>
        </w:numPr>
      </w:pPr>
      <w:r>
        <w:rPr>
          <w:rFonts w:hint="eastAsia"/>
        </w:rPr>
        <w:t>保护范围最低处位于淹没水位线以上10米至20米范围内的文物建筑、古遗址、古墓葬；</w:t>
      </w:r>
    </w:p>
    <w:p w14:paraId="4D06591B">
      <w:pPr>
        <w:pStyle w:val="165"/>
      </w:pPr>
      <w:bookmarkStart w:id="74" w:name="bookmark34"/>
      <w:bookmarkEnd w:id="74"/>
      <w:bookmarkStart w:id="75" w:name="bookmark33"/>
      <w:bookmarkEnd w:id="75"/>
      <w:r>
        <w:rPr>
          <w:rFonts w:hint="eastAsia"/>
        </w:rPr>
        <w:t>Ⅳ级响应等级</w:t>
      </w:r>
    </w:p>
    <w:p w14:paraId="07954597">
      <w:pPr>
        <w:pStyle w:val="56"/>
        <w:ind w:firstLine="420"/>
      </w:pPr>
      <w:r>
        <w:rPr>
          <w:rFonts w:hint="eastAsia"/>
        </w:rPr>
        <w:t>处于其他防汛应急响应区内的不可移动文物出现下列情况之一者，可确定为Ⅳ级响应：</w:t>
      </w:r>
    </w:p>
    <w:p w14:paraId="049B7119">
      <w:pPr>
        <w:pStyle w:val="174"/>
        <w:numPr>
          <w:ilvl w:val="0"/>
          <w:numId w:val="38"/>
        </w:numPr>
      </w:pPr>
      <w:r>
        <w:rPr>
          <w:rFonts w:hint="eastAsia"/>
        </w:rPr>
        <w:t>位于河道上且结构存在失稳现象的桥梁文物；</w:t>
      </w:r>
    </w:p>
    <w:p w14:paraId="5A4E8B3F">
      <w:pPr>
        <w:pStyle w:val="174"/>
        <w:numPr>
          <w:ilvl w:val="0"/>
          <w:numId w:val="38"/>
        </w:numPr>
      </w:pPr>
      <w:r>
        <w:rPr>
          <w:rFonts w:hint="eastAsia"/>
        </w:rPr>
        <w:t>位于河道两侧且存在未有效加固危岩体的文物建筑、石窟寺及石刻；</w:t>
      </w:r>
    </w:p>
    <w:p w14:paraId="1240CE73">
      <w:pPr>
        <w:pStyle w:val="174"/>
        <w:numPr>
          <w:ilvl w:val="0"/>
          <w:numId w:val="38"/>
        </w:numPr>
      </w:pPr>
      <w:r>
        <w:rPr>
          <w:rFonts w:hint="eastAsia"/>
        </w:rPr>
        <w:t>位于河谷上或者采空区的不可移动文物；</w:t>
      </w:r>
    </w:p>
    <w:p w14:paraId="5B3CCE18">
      <w:pPr>
        <w:pStyle w:val="174"/>
        <w:numPr>
          <w:ilvl w:val="0"/>
          <w:numId w:val="38"/>
        </w:numPr>
      </w:pPr>
      <w:r>
        <w:rPr>
          <w:rFonts w:hint="eastAsia"/>
        </w:rPr>
        <w:t>位于低洼处或部分文物单体低于现地坪的不可移动文物；</w:t>
      </w:r>
    </w:p>
    <w:p w14:paraId="46BB5106">
      <w:pPr>
        <w:pStyle w:val="174"/>
        <w:numPr>
          <w:ilvl w:val="0"/>
          <w:numId w:val="38"/>
        </w:numPr>
      </w:pPr>
      <w:r>
        <w:rPr>
          <w:rFonts w:hint="eastAsia"/>
        </w:rPr>
        <w:t>保护范围最低处位于淹没水位线以上20米至50米范围内的文物建筑、古遗址、古墓葬。</w:t>
      </w:r>
    </w:p>
    <w:p w14:paraId="1B203903">
      <w:pPr>
        <w:pStyle w:val="105"/>
        <w:spacing w:before="156" w:after="156"/>
      </w:pPr>
      <w:bookmarkStart w:id="76" w:name="_Toc147655625"/>
      <w:bookmarkStart w:id="77" w:name="_Toc196659058"/>
      <w:r>
        <w:rPr>
          <w:rFonts w:hint="eastAsia"/>
        </w:rPr>
        <w:t>地震灾害</w:t>
      </w:r>
      <w:bookmarkEnd w:id="76"/>
      <w:bookmarkEnd w:id="77"/>
    </w:p>
    <w:p w14:paraId="3E37D5CC">
      <w:pPr>
        <w:pStyle w:val="165"/>
      </w:pPr>
      <w:r>
        <w:rPr>
          <w:rFonts w:hint="eastAsia"/>
        </w:rPr>
        <w:t>一般规定</w:t>
      </w:r>
    </w:p>
    <w:p w14:paraId="7F11C54D">
      <w:pPr>
        <w:pStyle w:val="56"/>
        <w:ind w:firstLine="420"/>
      </w:pPr>
      <w:r>
        <w:rPr>
          <w:rFonts w:hint="eastAsia"/>
        </w:rPr>
        <w:t>地震灾害应急响应等级应根据GB/T 17742、山西省地震应急预案，并结合不可移动文物类型、价值、保存状况、破坏情况及所处环境情况等综合判断后确定。</w:t>
      </w:r>
    </w:p>
    <w:p w14:paraId="67CB2523">
      <w:pPr>
        <w:pStyle w:val="165"/>
      </w:pPr>
      <w:r>
        <w:rPr>
          <w:rFonts w:hint="eastAsia"/>
        </w:rPr>
        <w:t>Ⅰ级响应等级</w:t>
      </w:r>
    </w:p>
    <w:p w14:paraId="775CADD1">
      <w:pPr>
        <w:pStyle w:val="56"/>
        <w:ind w:firstLine="420"/>
      </w:pPr>
      <w:r>
        <w:rPr>
          <w:rFonts w:hint="eastAsia"/>
        </w:rPr>
        <w:t>不可移动文物，出现下列情况之一者，可确定为Ⅰ级响应：</w:t>
      </w:r>
    </w:p>
    <w:p w14:paraId="39851FAA">
      <w:pPr>
        <w:pStyle w:val="174"/>
        <w:numPr>
          <w:ilvl w:val="0"/>
          <w:numId w:val="39"/>
        </w:numPr>
      </w:pPr>
      <w:r>
        <w:rPr>
          <w:rFonts w:hint="eastAsia"/>
        </w:rPr>
        <w:t>位于地震烈度Ⅷ度及Ⅷ度以上区内的不可移动文物；</w:t>
      </w:r>
    </w:p>
    <w:p w14:paraId="431C9699">
      <w:pPr>
        <w:pStyle w:val="174"/>
        <w:numPr>
          <w:ilvl w:val="0"/>
          <w:numId w:val="39"/>
        </w:numPr>
      </w:pPr>
      <w:r>
        <w:rPr>
          <w:rFonts w:hint="eastAsia"/>
        </w:rPr>
        <w:t>位于地震烈度Ⅶ度区内且受力结构存在变形、损伤现象的文物建筑；</w:t>
      </w:r>
    </w:p>
    <w:p w14:paraId="3ACA3D41">
      <w:pPr>
        <w:pStyle w:val="174"/>
        <w:numPr>
          <w:ilvl w:val="0"/>
          <w:numId w:val="39"/>
        </w:numPr>
      </w:pPr>
      <w:r>
        <w:rPr>
          <w:rFonts w:hint="eastAsia"/>
        </w:rPr>
        <w:t>位于地震烈度Ⅶ度区内且基础存在变形、损伤现象的文物建筑；</w:t>
      </w:r>
    </w:p>
    <w:p w14:paraId="06EC78D7">
      <w:pPr>
        <w:pStyle w:val="174"/>
        <w:numPr>
          <w:ilvl w:val="0"/>
          <w:numId w:val="39"/>
        </w:numPr>
      </w:pPr>
      <w:r>
        <w:rPr>
          <w:rFonts w:hint="eastAsia"/>
        </w:rPr>
        <w:t>位于地震烈度Ⅶ度区内且同时位于采空区的不可移动文物；</w:t>
      </w:r>
    </w:p>
    <w:p w14:paraId="7B9CC000">
      <w:pPr>
        <w:pStyle w:val="174"/>
        <w:numPr>
          <w:ilvl w:val="0"/>
          <w:numId w:val="39"/>
        </w:numPr>
      </w:pPr>
      <w:r>
        <w:rPr>
          <w:rFonts w:hint="eastAsia"/>
        </w:rPr>
        <w:t>受地震影响其受力结构受到严重破坏的文物建筑、古遗址、古墓葬；</w:t>
      </w:r>
    </w:p>
    <w:p w14:paraId="477EB497">
      <w:pPr>
        <w:pStyle w:val="174"/>
        <w:numPr>
          <w:ilvl w:val="0"/>
          <w:numId w:val="39"/>
        </w:numPr>
      </w:pPr>
      <w:r>
        <w:rPr>
          <w:rFonts w:hint="eastAsia"/>
        </w:rPr>
        <w:t>受地震影响其周围发生大规模岩土体崩塌和变形危及文物本体和游客安全的石窟寺及石刻。</w:t>
      </w:r>
    </w:p>
    <w:p w14:paraId="62E2D09B">
      <w:pPr>
        <w:pStyle w:val="165"/>
      </w:pPr>
      <w:r>
        <w:rPr>
          <w:rFonts w:hint="eastAsia"/>
        </w:rPr>
        <w:t>Ⅱ级响应等级</w:t>
      </w:r>
    </w:p>
    <w:p w14:paraId="3269BCA6">
      <w:pPr>
        <w:pStyle w:val="56"/>
        <w:ind w:firstLine="420"/>
      </w:pPr>
      <w:r>
        <w:rPr>
          <w:rFonts w:hint="eastAsia"/>
        </w:rPr>
        <w:t>不可移动文物，出现下列情况之一者，可确定为Ⅱ级响应：</w:t>
      </w:r>
    </w:p>
    <w:p w14:paraId="1D770D30">
      <w:pPr>
        <w:pStyle w:val="174"/>
        <w:numPr>
          <w:ilvl w:val="0"/>
          <w:numId w:val="40"/>
        </w:numPr>
      </w:pPr>
      <w:r>
        <w:rPr>
          <w:rFonts w:hint="eastAsia"/>
        </w:rPr>
        <w:t>位于地震烈度Ⅶ区内的不可移动文物；</w:t>
      </w:r>
    </w:p>
    <w:p w14:paraId="7B41BEF4">
      <w:pPr>
        <w:pStyle w:val="174"/>
        <w:numPr>
          <w:ilvl w:val="0"/>
          <w:numId w:val="39"/>
        </w:numPr>
      </w:pPr>
      <w:r>
        <w:rPr>
          <w:rFonts w:hint="eastAsia"/>
        </w:rPr>
        <w:t>位于地震烈度Ⅵ度区内且受力结构存在变形、损伤现象的文物建筑；</w:t>
      </w:r>
    </w:p>
    <w:p w14:paraId="3AC44AD4">
      <w:pPr>
        <w:pStyle w:val="174"/>
        <w:numPr>
          <w:ilvl w:val="0"/>
          <w:numId w:val="39"/>
        </w:numPr>
      </w:pPr>
      <w:r>
        <w:rPr>
          <w:rFonts w:hint="eastAsia"/>
        </w:rPr>
        <w:t>位于地震烈度Ⅵ度区内且基础存在变形、损伤现象</w:t>
      </w:r>
    </w:p>
    <w:p w14:paraId="4DB50431">
      <w:pPr>
        <w:pStyle w:val="174"/>
        <w:numPr>
          <w:ilvl w:val="0"/>
          <w:numId w:val="39"/>
        </w:numPr>
      </w:pPr>
      <w:r>
        <w:rPr>
          <w:rFonts w:hint="eastAsia"/>
        </w:rPr>
        <w:t>位于地震烈度Ⅵ度区内且同时位于采空区的不可移动文物；</w:t>
      </w:r>
    </w:p>
    <w:p w14:paraId="68D1B575">
      <w:pPr>
        <w:pStyle w:val="174"/>
        <w:numPr>
          <w:ilvl w:val="0"/>
          <w:numId w:val="39"/>
        </w:numPr>
      </w:pPr>
      <w:r>
        <w:rPr>
          <w:rFonts w:hint="eastAsia"/>
        </w:rPr>
        <w:t>受地震影响其受力结构受到较严重破坏的文物建筑、古遗址、古墓葬；</w:t>
      </w:r>
    </w:p>
    <w:p w14:paraId="502B2A76">
      <w:pPr>
        <w:pStyle w:val="174"/>
        <w:numPr>
          <w:ilvl w:val="0"/>
          <w:numId w:val="40"/>
        </w:numPr>
      </w:pPr>
      <w:r>
        <w:rPr>
          <w:rFonts w:hint="eastAsia"/>
        </w:rPr>
        <w:t>受地震影响其周围发生小规模岩土体崩塌和变形对文物本体和游客造成威胁的石窟寺及石刻。</w:t>
      </w:r>
    </w:p>
    <w:p w14:paraId="2308CC5B">
      <w:pPr>
        <w:pStyle w:val="165"/>
      </w:pPr>
      <w:r>
        <w:rPr>
          <w:rFonts w:hint="eastAsia"/>
        </w:rPr>
        <w:t>Ⅲ级响应等级</w:t>
      </w:r>
    </w:p>
    <w:p w14:paraId="23949095">
      <w:pPr>
        <w:pStyle w:val="56"/>
        <w:ind w:firstLine="420"/>
      </w:pPr>
      <w:r>
        <w:rPr>
          <w:rFonts w:hint="eastAsia"/>
        </w:rPr>
        <w:t>不可移动文物，出现下列情况之一者，可确定为Ⅲ级响应：</w:t>
      </w:r>
    </w:p>
    <w:p w14:paraId="157B6F96">
      <w:pPr>
        <w:pStyle w:val="174"/>
        <w:numPr>
          <w:ilvl w:val="0"/>
          <w:numId w:val="41"/>
        </w:numPr>
      </w:pPr>
      <w:r>
        <w:rPr>
          <w:rFonts w:hint="eastAsia"/>
        </w:rPr>
        <w:t>位于地震烈度Ⅵ区内的不可移动文物；</w:t>
      </w:r>
    </w:p>
    <w:p w14:paraId="3B747D99">
      <w:pPr>
        <w:pStyle w:val="174"/>
        <w:numPr>
          <w:ilvl w:val="0"/>
          <w:numId w:val="39"/>
        </w:numPr>
      </w:pPr>
      <w:r>
        <w:rPr>
          <w:rFonts w:hint="eastAsia"/>
        </w:rPr>
        <w:t>位于地震烈度Ⅴ度区内且受力结构存在变形、损伤现象的文物建筑；</w:t>
      </w:r>
    </w:p>
    <w:p w14:paraId="108CE313">
      <w:pPr>
        <w:pStyle w:val="174"/>
        <w:numPr>
          <w:ilvl w:val="0"/>
          <w:numId w:val="39"/>
        </w:numPr>
      </w:pPr>
      <w:r>
        <w:rPr>
          <w:rFonts w:hint="eastAsia"/>
        </w:rPr>
        <w:t>位于地震烈度Ⅴ度内且基础存在变形、损伤现象的文物建筑；</w:t>
      </w:r>
    </w:p>
    <w:p w14:paraId="5C25B7C8">
      <w:pPr>
        <w:pStyle w:val="174"/>
        <w:numPr>
          <w:ilvl w:val="0"/>
          <w:numId w:val="39"/>
        </w:numPr>
      </w:pPr>
      <w:r>
        <w:rPr>
          <w:rFonts w:hint="eastAsia"/>
        </w:rPr>
        <w:t>位于地震烈度Ⅴ度区内且同时位于采空区的不可移动文物；</w:t>
      </w:r>
    </w:p>
    <w:p w14:paraId="362C4A83">
      <w:pPr>
        <w:pStyle w:val="174"/>
      </w:pPr>
      <w:r>
        <w:rPr>
          <w:rFonts w:hint="eastAsia"/>
        </w:rPr>
        <w:t>受地震影响其受力结构受到中等破坏的文物建筑、古遗址、古墓葬；</w:t>
      </w:r>
    </w:p>
    <w:p w14:paraId="5C336751">
      <w:pPr>
        <w:pStyle w:val="174"/>
      </w:pPr>
      <w:r>
        <w:rPr>
          <w:rFonts w:hint="eastAsia"/>
        </w:rPr>
        <w:t>受地震影响其周围存在局部落石对游客造成威胁的石窟寺及石刻。</w:t>
      </w:r>
    </w:p>
    <w:p w14:paraId="3B0F8590">
      <w:pPr>
        <w:pStyle w:val="165"/>
      </w:pPr>
      <w:r>
        <w:rPr>
          <w:rFonts w:hint="eastAsia"/>
        </w:rPr>
        <w:t>Ⅳ级响应等级</w:t>
      </w:r>
    </w:p>
    <w:p w14:paraId="5D83B7CF">
      <w:pPr>
        <w:pStyle w:val="56"/>
        <w:ind w:firstLine="420"/>
      </w:pPr>
      <w:r>
        <w:rPr>
          <w:rFonts w:hint="eastAsia"/>
        </w:rPr>
        <w:t>不可移动文物，出现下列情况之一者，可确定为</w:t>
      </w:r>
      <w:bookmarkStart w:id="78" w:name="OLE_LINK6"/>
      <w:r>
        <w:rPr>
          <w:rFonts w:hint="eastAsia"/>
        </w:rPr>
        <w:t>Ⅳ</w:t>
      </w:r>
      <w:bookmarkEnd w:id="78"/>
      <w:r>
        <w:rPr>
          <w:rFonts w:hint="eastAsia"/>
        </w:rPr>
        <w:t>级响应：</w:t>
      </w:r>
    </w:p>
    <w:p w14:paraId="212F5984">
      <w:pPr>
        <w:pStyle w:val="174"/>
        <w:numPr>
          <w:ilvl w:val="0"/>
          <w:numId w:val="42"/>
        </w:numPr>
      </w:pPr>
      <w:r>
        <w:rPr>
          <w:rFonts w:hint="eastAsia"/>
        </w:rPr>
        <w:t>位于地震烈度Ⅴ区内的不可移动文物；</w:t>
      </w:r>
    </w:p>
    <w:p w14:paraId="3089E436">
      <w:pPr>
        <w:pStyle w:val="174"/>
      </w:pPr>
      <w:r>
        <w:rPr>
          <w:rFonts w:hint="eastAsia"/>
        </w:rPr>
        <w:t>受地震影响其受力结构受到轻微破坏的文物建筑、古遗址、古墓葬；</w:t>
      </w:r>
    </w:p>
    <w:p w14:paraId="3504BB7E">
      <w:pPr>
        <w:pStyle w:val="174"/>
      </w:pPr>
      <w:r>
        <w:rPr>
          <w:rFonts w:hint="eastAsia"/>
        </w:rPr>
        <w:t>受地震影响其周围岩体出现新裂缝的石窟寺及石刻。</w:t>
      </w:r>
    </w:p>
    <w:p w14:paraId="11999C61">
      <w:pPr>
        <w:pStyle w:val="105"/>
        <w:spacing w:before="156" w:after="156"/>
      </w:pPr>
      <w:bookmarkStart w:id="79" w:name="_Toc196659059"/>
      <w:r>
        <w:rPr>
          <w:rFonts w:hint="eastAsia"/>
        </w:rPr>
        <w:t>地质灾害</w:t>
      </w:r>
      <w:bookmarkEnd w:id="79"/>
    </w:p>
    <w:p w14:paraId="4D10F347">
      <w:pPr>
        <w:pStyle w:val="165"/>
      </w:pPr>
      <w:r>
        <w:rPr>
          <w:rFonts w:hint="eastAsia"/>
        </w:rPr>
        <w:t>一般规定</w:t>
      </w:r>
    </w:p>
    <w:p w14:paraId="1E51D3EB">
      <w:pPr>
        <w:pStyle w:val="56"/>
        <w:ind w:firstLine="420"/>
      </w:pPr>
      <w:bookmarkStart w:id="80" w:name="_Hlk193206197"/>
      <w:r>
        <w:rPr>
          <w:rFonts w:hint="eastAsia"/>
        </w:rPr>
        <w:t>地质灾害包括崩塌、滑坡、泥石流、地面塌陷、地裂缝、地面沉降六类，地质灾害应急响应等级应根据地质灾害防治条例、GB/T40112，结合文物价值、所处位置和环境等综合判断后确定。</w:t>
      </w:r>
      <w:bookmarkEnd w:id="80"/>
    </w:p>
    <w:p w14:paraId="443BB224">
      <w:pPr>
        <w:pStyle w:val="165"/>
      </w:pPr>
      <w:bookmarkStart w:id="81" w:name="bookmark52"/>
      <w:bookmarkEnd w:id="81"/>
      <w:bookmarkStart w:id="82" w:name="bookmark51"/>
      <w:bookmarkEnd w:id="82"/>
      <w:r>
        <w:rPr>
          <w:rFonts w:hint="eastAsia"/>
        </w:rPr>
        <w:t>Ⅰ级响应等级</w:t>
      </w:r>
    </w:p>
    <w:p w14:paraId="412DEBC4">
      <w:pPr>
        <w:pStyle w:val="56"/>
        <w:ind w:firstLine="420"/>
      </w:pPr>
      <w:r>
        <w:rPr>
          <w:rFonts w:hint="eastAsia"/>
        </w:rPr>
        <w:t>处于地质灾害红色预警区内的不可移动文物，出现下列情况之一者，可确定为Ⅰ级响应：</w:t>
      </w:r>
    </w:p>
    <w:p w14:paraId="0586D860">
      <w:pPr>
        <w:pStyle w:val="174"/>
        <w:numPr>
          <w:ilvl w:val="0"/>
          <w:numId w:val="43"/>
        </w:numPr>
      </w:pPr>
      <w:r>
        <w:rPr>
          <w:rFonts w:hint="eastAsia"/>
        </w:rPr>
        <w:t>位于</w:t>
      </w:r>
      <w:r>
        <w:rPr>
          <w:rFonts w:hint="eastAsia" w:hAnsi="宋体" w:cs="仿宋"/>
          <w:bCs/>
          <w:szCs w:val="24"/>
        </w:rPr>
        <w:t>县级人民政府划定的</w:t>
      </w:r>
      <w:r>
        <w:fldChar w:fldCharType="begin"/>
      </w:r>
      <w:r>
        <w:instrText xml:space="preserve"> HYPERLINK "https://baike.baidu.com/item/%E5%9C%B0%E8%B4%A8%E7%81%BE%E5%AE%B3%E5%8D%B1%E9%99%A9%E5%8C%BA" \t "_blank" </w:instrText>
      </w:r>
      <w:r>
        <w:fldChar w:fldCharType="separate"/>
      </w:r>
      <w:r>
        <w:rPr>
          <w:rFonts w:hint="eastAsia" w:hAnsi="宋体" w:cs="仿宋"/>
          <w:bCs/>
          <w:szCs w:val="24"/>
        </w:rPr>
        <w:t>地质灾害危险区</w:t>
      </w:r>
      <w:r>
        <w:rPr>
          <w:rFonts w:hint="eastAsia" w:hAnsi="宋体" w:cs="仿宋"/>
          <w:bCs/>
          <w:szCs w:val="24"/>
        </w:rPr>
        <w:fldChar w:fldCharType="end"/>
      </w:r>
      <w:r>
        <w:rPr>
          <w:rFonts w:hint="eastAsia"/>
        </w:rPr>
        <w:t>内的不可移动文物；</w:t>
      </w:r>
    </w:p>
    <w:p w14:paraId="19BA8C22">
      <w:pPr>
        <w:pStyle w:val="174"/>
        <w:numPr>
          <w:ilvl w:val="0"/>
          <w:numId w:val="43"/>
        </w:numPr>
      </w:pPr>
      <w:r>
        <w:rPr>
          <w:rFonts w:hint="eastAsia"/>
        </w:rPr>
        <w:t>位于地质灾害隐患点周边的不可移动文物；</w:t>
      </w:r>
    </w:p>
    <w:p w14:paraId="249EA43C">
      <w:pPr>
        <w:pStyle w:val="174"/>
        <w:numPr>
          <w:ilvl w:val="0"/>
          <w:numId w:val="43"/>
        </w:numPr>
      </w:pPr>
      <w:r>
        <w:rPr>
          <w:rFonts w:hint="eastAsia"/>
        </w:rPr>
        <w:t>位于黄土区或者采空区的不可移动文物；</w:t>
      </w:r>
    </w:p>
    <w:p w14:paraId="6645FB93">
      <w:pPr>
        <w:pStyle w:val="174"/>
        <w:numPr>
          <w:ilvl w:val="0"/>
          <w:numId w:val="43"/>
        </w:numPr>
      </w:pPr>
      <w:r>
        <w:rPr>
          <w:rFonts w:hint="eastAsia"/>
        </w:rPr>
        <w:t>保护范围内出现坡体变形、土体松动险情或者存在高陡边坡的不可移动文物；</w:t>
      </w:r>
    </w:p>
    <w:p w14:paraId="67A02300">
      <w:pPr>
        <w:pStyle w:val="174"/>
        <w:numPr>
          <w:ilvl w:val="0"/>
          <w:numId w:val="43"/>
        </w:numPr>
      </w:pPr>
      <w:r>
        <w:rPr>
          <w:rFonts w:hint="eastAsia"/>
        </w:rPr>
        <w:t>附近有大型修路</w:t>
      </w:r>
      <w:r>
        <w:t>、采矿、切坡等人类工程活动的</w:t>
      </w:r>
      <w:r>
        <w:rPr>
          <w:rFonts w:hint="eastAsia"/>
        </w:rPr>
        <w:t>不可移动文物。</w:t>
      </w:r>
    </w:p>
    <w:p w14:paraId="61BC1CEF">
      <w:pPr>
        <w:pStyle w:val="165"/>
      </w:pPr>
      <w:bookmarkStart w:id="83" w:name="bookmark53"/>
      <w:bookmarkEnd w:id="83"/>
      <w:bookmarkStart w:id="84" w:name="bookmark54"/>
      <w:bookmarkEnd w:id="84"/>
      <w:r>
        <w:rPr>
          <w:rFonts w:hint="eastAsia"/>
        </w:rPr>
        <w:t>Ⅱ级响应等级</w:t>
      </w:r>
    </w:p>
    <w:p w14:paraId="08AEE2A8">
      <w:pPr>
        <w:pStyle w:val="56"/>
        <w:ind w:firstLine="420"/>
      </w:pPr>
      <w:r>
        <w:rPr>
          <w:rFonts w:hint="eastAsia"/>
        </w:rPr>
        <w:t>处于地质灾害橙色预警区内的不可移动文物，出现下列情况之一者，可确定为Ⅱ级响应：</w:t>
      </w:r>
    </w:p>
    <w:p w14:paraId="37DC2675">
      <w:pPr>
        <w:pStyle w:val="174"/>
        <w:numPr>
          <w:ilvl w:val="0"/>
          <w:numId w:val="44"/>
        </w:numPr>
      </w:pPr>
      <w:bookmarkStart w:id="85" w:name="bookmark56"/>
      <w:bookmarkEnd w:id="85"/>
      <w:bookmarkStart w:id="86" w:name="bookmark55"/>
      <w:bookmarkEnd w:id="86"/>
      <w:r>
        <w:rPr>
          <w:rFonts w:hint="eastAsia"/>
        </w:rPr>
        <w:t>位于县级人民政府划定的地质灾害危险区内的不可移动文物；</w:t>
      </w:r>
    </w:p>
    <w:p w14:paraId="3839F4BD">
      <w:pPr>
        <w:pStyle w:val="174"/>
        <w:numPr>
          <w:ilvl w:val="0"/>
          <w:numId w:val="44"/>
        </w:numPr>
      </w:pPr>
      <w:r>
        <w:rPr>
          <w:rFonts w:hint="eastAsia"/>
        </w:rPr>
        <w:t>位于地质灾害隐患点周边的不可移动文物；</w:t>
      </w:r>
    </w:p>
    <w:p w14:paraId="226EC8DC">
      <w:pPr>
        <w:pStyle w:val="174"/>
        <w:numPr>
          <w:ilvl w:val="0"/>
          <w:numId w:val="44"/>
        </w:numPr>
      </w:pPr>
      <w:r>
        <w:rPr>
          <w:rFonts w:hint="eastAsia"/>
        </w:rPr>
        <w:t>位于黄土区或者采空区的不可移动文物；</w:t>
      </w:r>
    </w:p>
    <w:p w14:paraId="4E2C5945">
      <w:pPr>
        <w:pStyle w:val="174"/>
        <w:numPr>
          <w:ilvl w:val="0"/>
          <w:numId w:val="44"/>
        </w:numPr>
      </w:pPr>
      <w:r>
        <w:rPr>
          <w:rFonts w:hint="eastAsia"/>
        </w:rPr>
        <w:t>保护范围内出现坡体变形、土体松动险情或者存在高陡边坡的不可移动文物；</w:t>
      </w:r>
    </w:p>
    <w:p w14:paraId="0F1C5D5E">
      <w:pPr>
        <w:pStyle w:val="174"/>
        <w:numPr>
          <w:ilvl w:val="0"/>
          <w:numId w:val="44"/>
        </w:numPr>
      </w:pPr>
      <w:r>
        <w:rPr>
          <w:rFonts w:hint="eastAsia"/>
        </w:rPr>
        <w:t>附近有大型修路</w:t>
      </w:r>
      <w:r>
        <w:t>、采矿、切坡等人类工程活动的</w:t>
      </w:r>
      <w:r>
        <w:rPr>
          <w:rFonts w:hint="eastAsia"/>
        </w:rPr>
        <w:t>不可移动文物。</w:t>
      </w:r>
    </w:p>
    <w:p w14:paraId="7E9A378F">
      <w:pPr>
        <w:pStyle w:val="165"/>
      </w:pPr>
      <w:r>
        <w:rPr>
          <w:rFonts w:hint="eastAsia"/>
        </w:rPr>
        <w:t>Ⅲ级响应等级</w:t>
      </w:r>
    </w:p>
    <w:p w14:paraId="7D52530B">
      <w:pPr>
        <w:pStyle w:val="56"/>
        <w:ind w:firstLine="420"/>
      </w:pPr>
      <w:bookmarkStart w:id="87" w:name="OLE_LINK20"/>
      <w:r>
        <w:rPr>
          <w:rFonts w:hint="eastAsia"/>
        </w:rPr>
        <w:t>处于地质灾害黄色预警区内的不可移动文物，出现下列情况之一者，可确定为Ⅲ级响应：</w:t>
      </w:r>
    </w:p>
    <w:bookmarkEnd w:id="87"/>
    <w:p w14:paraId="1BBD3A2F">
      <w:pPr>
        <w:pStyle w:val="174"/>
        <w:numPr>
          <w:ilvl w:val="0"/>
          <w:numId w:val="45"/>
        </w:numPr>
      </w:pPr>
      <w:bookmarkStart w:id="88" w:name="bookmark57"/>
      <w:bookmarkEnd w:id="88"/>
      <w:bookmarkStart w:id="89" w:name="bookmark58"/>
      <w:bookmarkEnd w:id="89"/>
      <w:r>
        <w:rPr>
          <w:rFonts w:hint="eastAsia"/>
        </w:rPr>
        <w:t>位于县级人民政府划定的地质灾害危险区内的不可移动文物；</w:t>
      </w:r>
    </w:p>
    <w:p w14:paraId="4BACDA6B">
      <w:pPr>
        <w:pStyle w:val="174"/>
        <w:numPr>
          <w:ilvl w:val="0"/>
          <w:numId w:val="45"/>
        </w:numPr>
      </w:pPr>
      <w:r>
        <w:rPr>
          <w:rFonts w:hint="eastAsia"/>
        </w:rPr>
        <w:t>位于地质灾害隐患点周边的不可移动文物；</w:t>
      </w:r>
    </w:p>
    <w:p w14:paraId="4144153C">
      <w:pPr>
        <w:pStyle w:val="174"/>
        <w:numPr>
          <w:ilvl w:val="0"/>
          <w:numId w:val="45"/>
        </w:numPr>
      </w:pPr>
      <w:r>
        <w:rPr>
          <w:rFonts w:hint="eastAsia"/>
        </w:rPr>
        <w:t>位于黄土区或者采空区的不可移动文物；</w:t>
      </w:r>
    </w:p>
    <w:p w14:paraId="5D4A1301">
      <w:pPr>
        <w:pStyle w:val="174"/>
        <w:numPr>
          <w:ilvl w:val="0"/>
          <w:numId w:val="45"/>
        </w:numPr>
      </w:pPr>
      <w:r>
        <w:rPr>
          <w:rFonts w:hint="eastAsia"/>
        </w:rPr>
        <w:t>保护范围内出现坡体变形、土体松动险情或者存在高陡边坡的不可移动文物；</w:t>
      </w:r>
    </w:p>
    <w:p w14:paraId="5CD728E9">
      <w:pPr>
        <w:pStyle w:val="174"/>
        <w:numPr>
          <w:ilvl w:val="0"/>
          <w:numId w:val="45"/>
        </w:numPr>
      </w:pPr>
      <w:r>
        <w:rPr>
          <w:rFonts w:hint="eastAsia"/>
        </w:rPr>
        <w:t>附近有大型修路</w:t>
      </w:r>
      <w:r>
        <w:t>、采矿、切坡等人类工程活动的</w:t>
      </w:r>
      <w:r>
        <w:rPr>
          <w:rFonts w:hint="eastAsia"/>
        </w:rPr>
        <w:t>不可移动文物。</w:t>
      </w:r>
    </w:p>
    <w:p w14:paraId="454966DC">
      <w:pPr>
        <w:pStyle w:val="165"/>
      </w:pPr>
      <w:r>
        <w:rPr>
          <w:rFonts w:hint="eastAsia"/>
        </w:rPr>
        <w:t>Ⅳ级响应等级</w:t>
      </w:r>
    </w:p>
    <w:p w14:paraId="2BFBD533">
      <w:pPr>
        <w:pStyle w:val="56"/>
        <w:ind w:firstLine="420"/>
      </w:pPr>
      <w:r>
        <w:rPr>
          <w:rFonts w:hint="eastAsia"/>
        </w:rPr>
        <w:t>处于地质灾害蓝色预警区内的不可移动文物，出现下列情况之一者，可确定为</w:t>
      </w:r>
      <w:bookmarkStart w:id="90" w:name="OLE_LINK21"/>
      <w:r>
        <w:rPr>
          <w:rFonts w:hint="eastAsia"/>
        </w:rPr>
        <w:t>Ⅳ</w:t>
      </w:r>
      <w:bookmarkEnd w:id="90"/>
      <w:r>
        <w:rPr>
          <w:rFonts w:hint="eastAsia"/>
        </w:rPr>
        <w:t>级响应：</w:t>
      </w:r>
    </w:p>
    <w:p w14:paraId="414100F4">
      <w:pPr>
        <w:pStyle w:val="174"/>
        <w:numPr>
          <w:ilvl w:val="0"/>
          <w:numId w:val="46"/>
        </w:numPr>
      </w:pPr>
      <w:r>
        <w:rPr>
          <w:rFonts w:hint="eastAsia"/>
        </w:rPr>
        <w:t>位于县级人民政府划定的地质灾害危险区内的不可移动文物。</w:t>
      </w:r>
    </w:p>
    <w:p w14:paraId="772EBFBE">
      <w:pPr>
        <w:pStyle w:val="174"/>
        <w:numPr>
          <w:ilvl w:val="0"/>
          <w:numId w:val="46"/>
        </w:numPr>
      </w:pPr>
      <w:r>
        <w:rPr>
          <w:rFonts w:hint="eastAsia"/>
        </w:rPr>
        <w:t>位于地质灾害隐患点周边的不可移动文物；</w:t>
      </w:r>
    </w:p>
    <w:p w14:paraId="577EE165">
      <w:pPr>
        <w:pStyle w:val="174"/>
        <w:numPr>
          <w:ilvl w:val="0"/>
          <w:numId w:val="46"/>
        </w:numPr>
      </w:pPr>
      <w:r>
        <w:rPr>
          <w:rFonts w:hint="eastAsia"/>
        </w:rPr>
        <w:t>位于黄土区或者采空区的不可移动文物；</w:t>
      </w:r>
    </w:p>
    <w:p w14:paraId="472BE843">
      <w:pPr>
        <w:pStyle w:val="174"/>
        <w:numPr>
          <w:ilvl w:val="0"/>
          <w:numId w:val="46"/>
        </w:numPr>
      </w:pPr>
      <w:r>
        <w:rPr>
          <w:rFonts w:hint="eastAsia"/>
        </w:rPr>
        <w:t>保护范围内出现坡体变形、土体松动险情或者存在高陡边坡的不可移动文物；</w:t>
      </w:r>
    </w:p>
    <w:p w14:paraId="5FB665E0">
      <w:pPr>
        <w:pStyle w:val="174"/>
        <w:numPr>
          <w:ilvl w:val="0"/>
          <w:numId w:val="46"/>
        </w:numPr>
      </w:pPr>
      <w:r>
        <w:rPr>
          <w:rFonts w:hint="eastAsia"/>
        </w:rPr>
        <w:t>附近有大型修路</w:t>
      </w:r>
      <w:r>
        <w:t>、采矿、切坡等人类工程活动的</w:t>
      </w:r>
      <w:r>
        <w:rPr>
          <w:rFonts w:hint="eastAsia"/>
        </w:rPr>
        <w:t>不可移动文物。</w:t>
      </w:r>
    </w:p>
    <w:p w14:paraId="771B7C82">
      <w:pPr>
        <w:pStyle w:val="105"/>
        <w:spacing w:before="156" w:after="156"/>
      </w:pPr>
      <w:bookmarkStart w:id="91" w:name="_Toc196659060"/>
      <w:r>
        <w:rPr>
          <w:rFonts w:hint="eastAsia"/>
        </w:rPr>
        <w:t>其他规定</w:t>
      </w:r>
      <w:bookmarkEnd w:id="91"/>
    </w:p>
    <w:p w14:paraId="7484773E">
      <w:pPr>
        <w:pStyle w:val="56"/>
        <w:ind w:firstLine="420"/>
      </w:pPr>
      <w:r>
        <w:rPr>
          <w:rFonts w:hint="eastAsia"/>
        </w:rPr>
        <w:t>上述应急响应等级规定针对未定级不可移动文物，对于市县级文物保护单位、省级文物保护单位、全国重点文物保护单位，其保护级别每提高一级，应急响应级别也可考虑提升一级考虑。</w:t>
      </w:r>
    </w:p>
    <w:p w14:paraId="4132DF9F">
      <w:pPr>
        <w:pStyle w:val="56"/>
        <w:ind w:firstLine="420"/>
      </w:pPr>
      <w:r>
        <w:rPr>
          <w:rFonts w:hint="eastAsia"/>
        </w:rPr>
        <w:t>如果气象灾害、水文灾害和地震灾害诱发次生灾害时，应急响应等级可提高一级考虑，或按次生灾害应急响应等级确定。</w:t>
      </w:r>
      <w:bookmarkEnd w:id="25"/>
      <w:bookmarkStart w:id="92" w:name="BookMark8"/>
    </w:p>
    <w:p w14:paraId="1DE35AAB">
      <w:pPr>
        <w:pStyle w:val="56"/>
        <w:ind w:firstLine="420"/>
      </w:pPr>
      <w:r>
        <w:rPr>
          <w:rFonts w:hint="eastAsia"/>
        </w:rPr>
        <w:t>如果文物保管机构或有关部门已编制不可移动文物自然灾害应急预案，其响应级别可按应急预案规定的评级方法执行。</w:t>
      </w:r>
    </w:p>
    <w:p w14:paraId="4F8A9FCE">
      <w:pPr>
        <w:pStyle w:val="56"/>
        <w:ind w:firstLine="400"/>
        <w:rPr>
          <w:sz w:val="20"/>
        </w:rPr>
      </w:pPr>
      <w:r>
        <w:rPr>
          <w:sz w:val="20"/>
        </w:rPr>
        <w:br w:type="page"/>
      </w:r>
    </w:p>
    <w:p w14:paraId="14216EB7">
      <w:pPr>
        <w:pStyle w:val="63"/>
        <w:spacing w:after="156"/>
      </w:pPr>
      <w:bookmarkStart w:id="93" w:name="_Toc196659061"/>
      <w:r>
        <w:t>参 考 文 献</w:t>
      </w:r>
      <w:bookmarkEnd w:id="93"/>
    </w:p>
    <w:p w14:paraId="61A123E4">
      <w:pPr>
        <w:pStyle w:val="64"/>
      </w:pPr>
      <w:r>
        <w:t>国家突发公共事件总体应急预案</w:t>
      </w:r>
      <w:r>
        <w:rPr>
          <w:rFonts w:hint="eastAsia"/>
        </w:rPr>
        <w:t xml:space="preserve"> 2005</w:t>
      </w:r>
    </w:p>
    <w:p w14:paraId="7DEAD19E">
      <w:pPr>
        <w:pStyle w:val="64"/>
      </w:pPr>
      <w:r>
        <w:rPr>
          <w:rFonts w:hint="eastAsia"/>
        </w:rPr>
        <w:t>国家防汛抗旱应急预案2022</w:t>
      </w:r>
    </w:p>
    <w:p w14:paraId="544FE7C5">
      <w:pPr>
        <w:pStyle w:val="64"/>
      </w:pPr>
      <w:r>
        <w:rPr>
          <w:rFonts w:hint="eastAsia"/>
        </w:rPr>
        <w:t>国家地震应急预案2012</w:t>
      </w:r>
    </w:p>
    <w:p w14:paraId="34789AE7">
      <w:pPr>
        <w:pStyle w:val="64"/>
      </w:pPr>
      <w:r>
        <w:rPr>
          <w:rFonts w:hint="eastAsia"/>
        </w:rPr>
        <w:t>地质灾害防治条例 2004</w:t>
      </w:r>
    </w:p>
    <w:p w14:paraId="11DB572E">
      <w:pPr>
        <w:pStyle w:val="64"/>
      </w:pPr>
      <w:r>
        <w:rPr>
          <w:rFonts w:hint="eastAsia"/>
        </w:rPr>
        <w:t>国家文物局突发事件应急工作管理办法 2003</w:t>
      </w:r>
    </w:p>
    <w:p w14:paraId="26AC2939">
      <w:pPr>
        <w:pStyle w:val="64"/>
      </w:pPr>
      <w:r>
        <w:rPr>
          <w:rFonts w:hint="eastAsia"/>
        </w:rPr>
        <w:t>山西省不可移动文物自然灾害风险管理办法 2023</w:t>
      </w:r>
    </w:p>
    <w:p w14:paraId="35B63B50">
      <w:pPr>
        <w:pStyle w:val="64"/>
      </w:pPr>
      <w:r>
        <w:rPr>
          <w:rFonts w:hint="eastAsia"/>
        </w:rPr>
        <w:t>T/CI 089—2023不可移动文物自然灾害风险管理术语</w:t>
      </w:r>
    </w:p>
    <w:p w14:paraId="2B0E2A1B">
      <w:pPr>
        <w:pStyle w:val="64"/>
      </w:pPr>
      <w:r>
        <w:rPr>
          <w:rFonts w:hint="eastAsia"/>
        </w:rPr>
        <w:t>DB11/T 1473文物建筑健康监测技术规范</w:t>
      </w:r>
    </w:p>
    <w:bookmarkEnd w:id="92"/>
    <w:p w14:paraId="07F284D0">
      <w:pPr>
        <w:pStyle w:val="56"/>
        <w:ind w:firstLine="0" w:firstLineChars="0"/>
        <w:jc w:val="center"/>
        <w:rPr>
          <w:rFonts w:hint="eastAsia" w:hAnsi="宋体" w:cs="宋体"/>
          <w:spacing w:val="1"/>
          <w:sz w:val="20"/>
        </w:rPr>
      </w:pPr>
      <w:r>
        <w:drawing>
          <wp:inline distT="0" distB="0" distL="0" distR="0">
            <wp:extent cx="1485900" cy="317500"/>
            <wp:effectExtent l="0" t="0" r="0" b="6350"/>
            <wp:docPr id="931952376" name="图片 1"/>
            <wp:cNvGraphicFramePr/>
            <a:graphic xmlns:a="http://schemas.openxmlformats.org/drawingml/2006/main">
              <a:graphicData uri="http://schemas.openxmlformats.org/drawingml/2006/picture">
                <pic:pic xmlns:pic="http://schemas.openxmlformats.org/drawingml/2006/picture">
                  <pic:nvPicPr>
                    <pic:cNvPr id="931952376"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958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8547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F5B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66CF">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E35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455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251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D5A2">
    <w:pPr>
      <w:pStyle w:val="61"/>
      <w:rPr>
        <w:rFonts w:hint="eastAsia"/>
      </w:rPr>
    </w:pPr>
    <w:r>
      <w:fldChar w:fldCharType="begin"/>
    </w:r>
    <w:r>
      <w:instrText xml:space="preserve"> STYLEREF  标准文件_文件编号  \* MERGEFORMAT </w:instrText>
    </w:r>
    <w:r>
      <w:fldChar w:fldCharType="separate"/>
    </w:r>
    <w:r>
      <w:t>DB 14/T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82A">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14/T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71825"/>
    <w:multiLevelType w:val="multilevel"/>
    <w:tmpl w:val="C717182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16DB965"/>
    <w:multiLevelType w:val="multilevel"/>
    <w:tmpl w:val="F16DB96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4D59E77"/>
    <w:multiLevelType w:val="multilevel"/>
    <w:tmpl w:val="64D59E7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2126" w:firstLine="0"/>
      </w:pPr>
      <w:rPr>
        <w:rFonts w:hint="eastAsia" w:ascii="黑体" w:eastAsia="黑体"/>
        <w:b w:val="0"/>
        <w:i w:val="0"/>
        <w:sz w:val="21"/>
      </w:rPr>
    </w:lvl>
    <w:lvl w:ilvl="4" w:tentative="0">
      <w:start w:val="1"/>
      <w:numFmt w:val="decimal"/>
      <w:pStyle w:val="94"/>
      <w:suff w:val="nothing"/>
      <w:lvlText w:val="%1%2.%3.%4.%5　"/>
      <w:lvlJc w:val="left"/>
      <w:pPr>
        <w:ind w:left="283"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4B6DF3"/>
    <w:multiLevelType w:val="multilevel"/>
    <w:tmpl w:val="7B4B6DF3"/>
    <w:lvl w:ilvl="0" w:tentative="0">
      <w:start w:val="1"/>
      <w:numFmt w:val="lowerLetter"/>
      <w:pStyle w:val="174"/>
      <w:lvlText w:val="%1)"/>
      <w:lvlJc w:val="left"/>
      <w:pPr>
        <w:tabs>
          <w:tab w:val="left" w:pos="851"/>
        </w:tabs>
        <w:ind w:left="851" w:hanging="426"/>
      </w:pPr>
      <w:rPr>
        <w:rFonts w:hint="default"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30"/>
  </w:num>
  <w:num w:numId="3">
    <w:abstractNumId w:val="7"/>
  </w:num>
  <w:num w:numId="4">
    <w:abstractNumId w:val="26"/>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8"/>
  </w:num>
  <w:num w:numId="12">
    <w:abstractNumId w:val="13"/>
  </w:num>
  <w:num w:numId="13">
    <w:abstractNumId w:val="34"/>
  </w:num>
  <w:num w:numId="14">
    <w:abstractNumId w:val="9"/>
  </w:num>
  <w:num w:numId="15">
    <w:abstractNumId w:val="21"/>
  </w:num>
  <w:num w:numId="16">
    <w:abstractNumId w:val="23"/>
  </w:num>
  <w:num w:numId="17">
    <w:abstractNumId w:val="19"/>
  </w:num>
  <w:num w:numId="18">
    <w:abstractNumId w:val="32"/>
  </w:num>
  <w:num w:numId="19">
    <w:abstractNumId w:val="17"/>
  </w:num>
  <w:num w:numId="20">
    <w:abstractNumId w:val="3"/>
  </w:num>
  <w:num w:numId="21">
    <w:abstractNumId w:val="12"/>
  </w:num>
  <w:num w:numId="22">
    <w:abstractNumId w:val="33"/>
  </w:num>
  <w:num w:numId="23">
    <w:abstractNumId w:val="22"/>
  </w:num>
  <w:num w:numId="24">
    <w:abstractNumId w:val="8"/>
  </w:num>
  <w:num w:numId="25">
    <w:abstractNumId w:val="29"/>
  </w:num>
  <w:num w:numId="26">
    <w:abstractNumId w:val="31"/>
  </w:num>
  <w:num w:numId="27">
    <w:abstractNumId w:val="4"/>
  </w:num>
  <w:num w:numId="28">
    <w:abstractNumId w:val="6"/>
  </w:num>
  <w:num w:numId="29">
    <w:abstractNumId w:val="16"/>
  </w:num>
  <w:num w:numId="30">
    <w:abstractNumId w:val="27"/>
  </w:num>
  <w:num w:numId="31">
    <w:abstractNumId w:val="2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 w:numId="38">
    <w:abstractNumId w:val="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hYWU3MjQ1OWU1MWM5NGZmNzc5ZDFlM2E4NjRlYTAifQ=="/>
  </w:docVars>
  <w:rsids>
    <w:rsidRoot w:val="001E2C0E"/>
    <w:rsid w:val="0000040A"/>
    <w:rsid w:val="00000A94"/>
    <w:rsid w:val="00001972"/>
    <w:rsid w:val="00001D9A"/>
    <w:rsid w:val="00005A3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0C8"/>
    <w:rsid w:val="0004249A"/>
    <w:rsid w:val="00043282"/>
    <w:rsid w:val="00044286"/>
    <w:rsid w:val="00047DB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99E"/>
    <w:rsid w:val="00067F1E"/>
    <w:rsid w:val="00071CC0"/>
    <w:rsid w:val="00073C8C"/>
    <w:rsid w:val="00075C6A"/>
    <w:rsid w:val="00077B64"/>
    <w:rsid w:val="00080A1C"/>
    <w:rsid w:val="00082317"/>
    <w:rsid w:val="00083D2C"/>
    <w:rsid w:val="00086AA1"/>
    <w:rsid w:val="00087A77"/>
    <w:rsid w:val="00090CA6"/>
    <w:rsid w:val="00092B8A"/>
    <w:rsid w:val="00092FB0"/>
    <w:rsid w:val="000934C5"/>
    <w:rsid w:val="00093D25"/>
    <w:rsid w:val="00093DAB"/>
    <w:rsid w:val="00094D73"/>
    <w:rsid w:val="00094DFD"/>
    <w:rsid w:val="00096144"/>
    <w:rsid w:val="00096D63"/>
    <w:rsid w:val="000A0B60"/>
    <w:rsid w:val="000A0EB8"/>
    <w:rsid w:val="000A19FC"/>
    <w:rsid w:val="000A296B"/>
    <w:rsid w:val="000A7311"/>
    <w:rsid w:val="000B060F"/>
    <w:rsid w:val="000B1592"/>
    <w:rsid w:val="000B16F7"/>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F58"/>
    <w:rsid w:val="000D753B"/>
    <w:rsid w:val="000E4C9E"/>
    <w:rsid w:val="000E6FD7"/>
    <w:rsid w:val="000F06E1"/>
    <w:rsid w:val="000F0E3C"/>
    <w:rsid w:val="000F19D5"/>
    <w:rsid w:val="000F4AEA"/>
    <w:rsid w:val="000F633F"/>
    <w:rsid w:val="000F67E9"/>
    <w:rsid w:val="00104926"/>
    <w:rsid w:val="00105A84"/>
    <w:rsid w:val="0010685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6F1B"/>
    <w:rsid w:val="001529E5"/>
    <w:rsid w:val="00153C7E"/>
    <w:rsid w:val="00156B25"/>
    <w:rsid w:val="00156E1A"/>
    <w:rsid w:val="00157894"/>
    <w:rsid w:val="00157B55"/>
    <w:rsid w:val="001642FA"/>
    <w:rsid w:val="001649EB"/>
    <w:rsid w:val="00164BAF"/>
    <w:rsid w:val="00164F26"/>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C0E"/>
    <w:rsid w:val="001E3CC4"/>
    <w:rsid w:val="001E4882"/>
    <w:rsid w:val="001E73AB"/>
    <w:rsid w:val="001F092D"/>
    <w:rsid w:val="001F143A"/>
    <w:rsid w:val="001F1605"/>
    <w:rsid w:val="001F2508"/>
    <w:rsid w:val="001F4816"/>
    <w:rsid w:val="001F4EE9"/>
    <w:rsid w:val="001F5B2F"/>
    <w:rsid w:val="001F69B4"/>
    <w:rsid w:val="001F6D7B"/>
    <w:rsid w:val="001F77C7"/>
    <w:rsid w:val="001F7F39"/>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3C38"/>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EED"/>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468"/>
    <w:rsid w:val="002F30E0"/>
    <w:rsid w:val="002F35E4"/>
    <w:rsid w:val="002F3730"/>
    <w:rsid w:val="002F38E1"/>
    <w:rsid w:val="002F7AF6"/>
    <w:rsid w:val="00300E63"/>
    <w:rsid w:val="0030138E"/>
    <w:rsid w:val="00302F5F"/>
    <w:rsid w:val="00303201"/>
    <w:rsid w:val="0030441D"/>
    <w:rsid w:val="00306063"/>
    <w:rsid w:val="00313B85"/>
    <w:rsid w:val="00317988"/>
    <w:rsid w:val="00322053"/>
    <w:rsid w:val="003221B4"/>
    <w:rsid w:val="0032258D"/>
    <w:rsid w:val="00322E62"/>
    <w:rsid w:val="00324D13"/>
    <w:rsid w:val="00324D2A"/>
    <w:rsid w:val="00324EDD"/>
    <w:rsid w:val="003331E4"/>
    <w:rsid w:val="00336C64"/>
    <w:rsid w:val="00337162"/>
    <w:rsid w:val="0034194F"/>
    <w:rsid w:val="00344605"/>
    <w:rsid w:val="003474AA"/>
    <w:rsid w:val="00350D1D"/>
    <w:rsid w:val="00351198"/>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9C6"/>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B92"/>
    <w:rsid w:val="003B09AD"/>
    <w:rsid w:val="003B1F18"/>
    <w:rsid w:val="003B5BF0"/>
    <w:rsid w:val="003B60BF"/>
    <w:rsid w:val="003B6BE3"/>
    <w:rsid w:val="003C010C"/>
    <w:rsid w:val="003C0A6C"/>
    <w:rsid w:val="003C14F8"/>
    <w:rsid w:val="003C3AEE"/>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05D"/>
    <w:rsid w:val="003F6272"/>
    <w:rsid w:val="00400E72"/>
    <w:rsid w:val="00401400"/>
    <w:rsid w:val="00404869"/>
    <w:rsid w:val="00405884"/>
    <w:rsid w:val="00407D39"/>
    <w:rsid w:val="004137E3"/>
    <w:rsid w:val="0041477A"/>
    <w:rsid w:val="004167A3"/>
    <w:rsid w:val="00432DAA"/>
    <w:rsid w:val="00434305"/>
    <w:rsid w:val="00435DF7"/>
    <w:rsid w:val="0044083F"/>
    <w:rsid w:val="00441AE7"/>
    <w:rsid w:val="00445574"/>
    <w:rsid w:val="004467FB"/>
    <w:rsid w:val="00452D6B"/>
    <w:rsid w:val="00454484"/>
    <w:rsid w:val="0045517B"/>
    <w:rsid w:val="004639F7"/>
    <w:rsid w:val="00463B77"/>
    <w:rsid w:val="00463C7B"/>
    <w:rsid w:val="004641AD"/>
    <w:rsid w:val="004644A6"/>
    <w:rsid w:val="004659BD"/>
    <w:rsid w:val="00467DB8"/>
    <w:rsid w:val="00470775"/>
    <w:rsid w:val="004746B1"/>
    <w:rsid w:val="0047583F"/>
    <w:rsid w:val="00475A26"/>
    <w:rsid w:val="00475DE8"/>
    <w:rsid w:val="00481C44"/>
    <w:rsid w:val="00484936"/>
    <w:rsid w:val="00485C89"/>
    <w:rsid w:val="00486BE3"/>
    <w:rsid w:val="004905E4"/>
    <w:rsid w:val="00490A89"/>
    <w:rsid w:val="00490AB4"/>
    <w:rsid w:val="00492F02"/>
    <w:rsid w:val="004939AE"/>
    <w:rsid w:val="004A0ED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A43"/>
    <w:rsid w:val="004E4AA5"/>
    <w:rsid w:val="004E4AEE"/>
    <w:rsid w:val="004E59E3"/>
    <w:rsid w:val="004E67C0"/>
    <w:rsid w:val="004F391A"/>
    <w:rsid w:val="004F3B87"/>
    <w:rsid w:val="004F3CFB"/>
    <w:rsid w:val="004F6456"/>
    <w:rsid w:val="004F696E"/>
    <w:rsid w:val="004F6C71"/>
    <w:rsid w:val="00501139"/>
    <w:rsid w:val="0050363E"/>
    <w:rsid w:val="005039BC"/>
    <w:rsid w:val="005043BB"/>
    <w:rsid w:val="00504A3D"/>
    <w:rsid w:val="00505767"/>
    <w:rsid w:val="005073F0"/>
    <w:rsid w:val="00510A7B"/>
    <w:rsid w:val="00510E16"/>
    <w:rsid w:val="00512F6E"/>
    <w:rsid w:val="00513038"/>
    <w:rsid w:val="00514174"/>
    <w:rsid w:val="00516088"/>
    <w:rsid w:val="00516B0B"/>
    <w:rsid w:val="005220EC"/>
    <w:rsid w:val="00523F95"/>
    <w:rsid w:val="00524D65"/>
    <w:rsid w:val="00525069"/>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6A32"/>
    <w:rsid w:val="00597007"/>
    <w:rsid w:val="005A0966"/>
    <w:rsid w:val="005A11B7"/>
    <w:rsid w:val="005A260B"/>
    <w:rsid w:val="005A4A1B"/>
    <w:rsid w:val="005A7830"/>
    <w:rsid w:val="005A7FCE"/>
    <w:rsid w:val="005B0F3F"/>
    <w:rsid w:val="005B2CBA"/>
    <w:rsid w:val="005B4903"/>
    <w:rsid w:val="005B51CE"/>
    <w:rsid w:val="005B5885"/>
    <w:rsid w:val="005B5CD7"/>
    <w:rsid w:val="005B6CF6"/>
    <w:rsid w:val="005B7422"/>
    <w:rsid w:val="005C29B8"/>
    <w:rsid w:val="005C5549"/>
    <w:rsid w:val="005C5F21"/>
    <w:rsid w:val="005C7156"/>
    <w:rsid w:val="005D0C75"/>
    <w:rsid w:val="005D4171"/>
    <w:rsid w:val="005D6A95"/>
    <w:rsid w:val="005D6B2C"/>
    <w:rsid w:val="005D6D9C"/>
    <w:rsid w:val="005E1854"/>
    <w:rsid w:val="005E2335"/>
    <w:rsid w:val="005E34CA"/>
    <w:rsid w:val="005E3C18"/>
    <w:rsid w:val="005E6812"/>
    <w:rsid w:val="005E7078"/>
    <w:rsid w:val="005E7881"/>
    <w:rsid w:val="005E78E0"/>
    <w:rsid w:val="005F0D9C"/>
    <w:rsid w:val="005F284E"/>
    <w:rsid w:val="005F4712"/>
    <w:rsid w:val="00600F64"/>
    <w:rsid w:val="006015CE"/>
    <w:rsid w:val="00604784"/>
    <w:rsid w:val="00606419"/>
    <w:rsid w:val="00607D29"/>
    <w:rsid w:val="00612952"/>
    <w:rsid w:val="00614CC1"/>
    <w:rsid w:val="00615A9D"/>
    <w:rsid w:val="00615EA1"/>
    <w:rsid w:val="00617387"/>
    <w:rsid w:val="006205D6"/>
    <w:rsid w:val="006252D8"/>
    <w:rsid w:val="006259BC"/>
    <w:rsid w:val="0062636B"/>
    <w:rsid w:val="00632182"/>
    <w:rsid w:val="00632AE0"/>
    <w:rsid w:val="00632EC4"/>
    <w:rsid w:val="00633C17"/>
    <w:rsid w:val="00634D9E"/>
    <w:rsid w:val="00636E3E"/>
    <w:rsid w:val="006379F7"/>
    <w:rsid w:val="00637E4D"/>
    <w:rsid w:val="00640620"/>
    <w:rsid w:val="00641A1F"/>
    <w:rsid w:val="00645904"/>
    <w:rsid w:val="006509A3"/>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374"/>
    <w:rsid w:val="00672BFD"/>
    <w:rsid w:val="006770F4"/>
    <w:rsid w:val="00677A84"/>
    <w:rsid w:val="0068026D"/>
    <w:rsid w:val="00680A27"/>
    <w:rsid w:val="006816A4"/>
    <w:rsid w:val="006819B8"/>
    <w:rsid w:val="006840A6"/>
    <w:rsid w:val="006850CD"/>
    <w:rsid w:val="00685A1B"/>
    <w:rsid w:val="00685AAB"/>
    <w:rsid w:val="00695D22"/>
    <w:rsid w:val="006A07AA"/>
    <w:rsid w:val="006A25E5"/>
    <w:rsid w:val="006A2B46"/>
    <w:rsid w:val="006A336D"/>
    <w:rsid w:val="006A37B9"/>
    <w:rsid w:val="006B2672"/>
    <w:rsid w:val="006B2707"/>
    <w:rsid w:val="006B54BF"/>
    <w:rsid w:val="006B5F44"/>
    <w:rsid w:val="006B5F90"/>
    <w:rsid w:val="006B62E4"/>
    <w:rsid w:val="006C1BBA"/>
    <w:rsid w:val="006C2079"/>
    <w:rsid w:val="006C3868"/>
    <w:rsid w:val="006C5A62"/>
    <w:rsid w:val="006C5D68"/>
    <w:rsid w:val="006C6976"/>
    <w:rsid w:val="006C6DD0"/>
    <w:rsid w:val="006C7E01"/>
    <w:rsid w:val="006D04EA"/>
    <w:rsid w:val="006D0AB7"/>
    <w:rsid w:val="006D16C4"/>
    <w:rsid w:val="006D3E96"/>
    <w:rsid w:val="006D4515"/>
    <w:rsid w:val="006D4BB1"/>
    <w:rsid w:val="006D6593"/>
    <w:rsid w:val="006E03CE"/>
    <w:rsid w:val="006E23EA"/>
    <w:rsid w:val="006E5A2B"/>
    <w:rsid w:val="006F03A8"/>
    <w:rsid w:val="006F2ACA"/>
    <w:rsid w:val="006F2ADC"/>
    <w:rsid w:val="006F2BFE"/>
    <w:rsid w:val="006F31E9"/>
    <w:rsid w:val="006F6284"/>
    <w:rsid w:val="006F70B3"/>
    <w:rsid w:val="007002C5"/>
    <w:rsid w:val="00704387"/>
    <w:rsid w:val="007050E0"/>
    <w:rsid w:val="00705C1C"/>
    <w:rsid w:val="00707669"/>
    <w:rsid w:val="00711CBA"/>
    <w:rsid w:val="00711FB5"/>
    <w:rsid w:val="00712A01"/>
    <w:rsid w:val="00714F58"/>
    <w:rsid w:val="00722FBF"/>
    <w:rsid w:val="00722FC2"/>
    <w:rsid w:val="00724879"/>
    <w:rsid w:val="00724E1B"/>
    <w:rsid w:val="00725949"/>
    <w:rsid w:val="00725E18"/>
    <w:rsid w:val="00727FA2"/>
    <w:rsid w:val="007322D9"/>
    <w:rsid w:val="00732BC0"/>
    <w:rsid w:val="0073720F"/>
    <w:rsid w:val="00737796"/>
    <w:rsid w:val="00737FC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59"/>
    <w:rsid w:val="00755402"/>
    <w:rsid w:val="00756B26"/>
    <w:rsid w:val="00756EDF"/>
    <w:rsid w:val="007600E3"/>
    <w:rsid w:val="00765C43"/>
    <w:rsid w:val="00765EFB"/>
    <w:rsid w:val="007671CA"/>
    <w:rsid w:val="00767BB6"/>
    <w:rsid w:val="00767C61"/>
    <w:rsid w:val="0077008A"/>
    <w:rsid w:val="0077076D"/>
    <w:rsid w:val="00773C1F"/>
    <w:rsid w:val="00774DA4"/>
    <w:rsid w:val="00775436"/>
    <w:rsid w:val="00776599"/>
    <w:rsid w:val="0078114B"/>
    <w:rsid w:val="00781DD2"/>
    <w:rsid w:val="00783ECF"/>
    <w:rsid w:val="0078413A"/>
    <w:rsid w:val="007931EA"/>
    <w:rsid w:val="007959E8"/>
    <w:rsid w:val="00795E9C"/>
    <w:rsid w:val="00796D7A"/>
    <w:rsid w:val="007A0521"/>
    <w:rsid w:val="007A103A"/>
    <w:rsid w:val="007A2E12"/>
    <w:rsid w:val="007A3009"/>
    <w:rsid w:val="007A3475"/>
    <w:rsid w:val="007A41C8"/>
    <w:rsid w:val="007A54CE"/>
    <w:rsid w:val="007A6FD9"/>
    <w:rsid w:val="007A7FFA"/>
    <w:rsid w:val="007B04EB"/>
    <w:rsid w:val="007B0D4F"/>
    <w:rsid w:val="007B5A3D"/>
    <w:rsid w:val="007B5B95"/>
    <w:rsid w:val="007B68EA"/>
    <w:rsid w:val="007B7453"/>
    <w:rsid w:val="007C126E"/>
    <w:rsid w:val="007C1E8B"/>
    <w:rsid w:val="007C2D89"/>
    <w:rsid w:val="007C4593"/>
    <w:rsid w:val="007C5309"/>
    <w:rsid w:val="007C6069"/>
    <w:rsid w:val="007C6EF4"/>
    <w:rsid w:val="007D06C4"/>
    <w:rsid w:val="007D1352"/>
    <w:rsid w:val="007D2508"/>
    <w:rsid w:val="007D346A"/>
    <w:rsid w:val="007D6518"/>
    <w:rsid w:val="007D76BD"/>
    <w:rsid w:val="007E0BF1"/>
    <w:rsid w:val="007E1356"/>
    <w:rsid w:val="007E2080"/>
    <w:rsid w:val="007F0ED8"/>
    <w:rsid w:val="007F0F63"/>
    <w:rsid w:val="007F75CE"/>
    <w:rsid w:val="008013A4"/>
    <w:rsid w:val="0080174D"/>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2F29"/>
    <w:rsid w:val="00883F93"/>
    <w:rsid w:val="00884DB3"/>
    <w:rsid w:val="00885A9D"/>
    <w:rsid w:val="00885B1F"/>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3DE"/>
    <w:rsid w:val="008E0C9D"/>
    <w:rsid w:val="008E1648"/>
    <w:rsid w:val="008E1B3E"/>
    <w:rsid w:val="008E2319"/>
    <w:rsid w:val="008E273D"/>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438"/>
    <w:rsid w:val="009305B5"/>
    <w:rsid w:val="00933D08"/>
    <w:rsid w:val="009351BF"/>
    <w:rsid w:val="00936B57"/>
    <w:rsid w:val="009429D5"/>
    <w:rsid w:val="00942BF1"/>
    <w:rsid w:val="00945180"/>
    <w:rsid w:val="00945428"/>
    <w:rsid w:val="0094607B"/>
    <w:rsid w:val="00953604"/>
    <w:rsid w:val="0095496B"/>
    <w:rsid w:val="009610DC"/>
    <w:rsid w:val="00961490"/>
    <w:rsid w:val="0096381A"/>
    <w:rsid w:val="009648BD"/>
    <w:rsid w:val="00965E04"/>
    <w:rsid w:val="009674AD"/>
    <w:rsid w:val="00970CDC"/>
    <w:rsid w:val="00977010"/>
    <w:rsid w:val="00977D02"/>
    <w:rsid w:val="009809BB"/>
    <w:rsid w:val="0098364B"/>
    <w:rsid w:val="00987733"/>
    <w:rsid w:val="009911AF"/>
    <w:rsid w:val="00991875"/>
    <w:rsid w:val="00991F92"/>
    <w:rsid w:val="00992985"/>
    <w:rsid w:val="00993889"/>
    <w:rsid w:val="009946D8"/>
    <w:rsid w:val="0099551B"/>
    <w:rsid w:val="00997BF1"/>
    <w:rsid w:val="009A089C"/>
    <w:rsid w:val="009A118E"/>
    <w:rsid w:val="009A21CD"/>
    <w:rsid w:val="009A278C"/>
    <w:rsid w:val="009A2BC2"/>
    <w:rsid w:val="009A2CD2"/>
    <w:rsid w:val="009A3513"/>
    <w:rsid w:val="009A42C1"/>
    <w:rsid w:val="009A5122"/>
    <w:rsid w:val="009A5429"/>
    <w:rsid w:val="009A72AD"/>
    <w:rsid w:val="009A7EF1"/>
    <w:rsid w:val="009B09E0"/>
    <w:rsid w:val="009B0BC5"/>
    <w:rsid w:val="009B1247"/>
    <w:rsid w:val="009B2680"/>
    <w:rsid w:val="009B2FA9"/>
    <w:rsid w:val="009B302B"/>
    <w:rsid w:val="009B46F9"/>
    <w:rsid w:val="009B6029"/>
    <w:rsid w:val="009B6971"/>
    <w:rsid w:val="009C27F1"/>
    <w:rsid w:val="009C3152"/>
    <w:rsid w:val="009C4CFA"/>
    <w:rsid w:val="009C5070"/>
    <w:rsid w:val="009D112C"/>
    <w:rsid w:val="009D47FA"/>
    <w:rsid w:val="009D4C5B"/>
    <w:rsid w:val="009D50D2"/>
    <w:rsid w:val="009D6BCA"/>
    <w:rsid w:val="009E0F62"/>
    <w:rsid w:val="009E4242"/>
    <w:rsid w:val="009E4A58"/>
    <w:rsid w:val="009E5A2D"/>
    <w:rsid w:val="009E5AB2"/>
    <w:rsid w:val="009E6219"/>
    <w:rsid w:val="009F03B3"/>
    <w:rsid w:val="00A0096C"/>
    <w:rsid w:val="00A01757"/>
    <w:rsid w:val="00A028C0"/>
    <w:rsid w:val="00A02BAE"/>
    <w:rsid w:val="00A06A6B"/>
    <w:rsid w:val="00A07E47"/>
    <w:rsid w:val="00A1104A"/>
    <w:rsid w:val="00A129D0"/>
    <w:rsid w:val="00A12C33"/>
    <w:rsid w:val="00A138BA"/>
    <w:rsid w:val="00A14C8E"/>
    <w:rsid w:val="00A153D9"/>
    <w:rsid w:val="00A15F09"/>
    <w:rsid w:val="00A169B6"/>
    <w:rsid w:val="00A2271D"/>
    <w:rsid w:val="00A237D5"/>
    <w:rsid w:val="00A30EFC"/>
    <w:rsid w:val="00A31984"/>
    <w:rsid w:val="00A32D73"/>
    <w:rsid w:val="00A3367B"/>
    <w:rsid w:val="00A3430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2B5B"/>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1C0"/>
    <w:rsid w:val="00AF47C5"/>
    <w:rsid w:val="00AF5398"/>
    <w:rsid w:val="00B049AF"/>
    <w:rsid w:val="00B07242"/>
    <w:rsid w:val="00B10534"/>
    <w:rsid w:val="00B113DB"/>
    <w:rsid w:val="00B11D8A"/>
    <w:rsid w:val="00B123A5"/>
    <w:rsid w:val="00B12981"/>
    <w:rsid w:val="00B13820"/>
    <w:rsid w:val="00B147DD"/>
    <w:rsid w:val="00B156FD"/>
    <w:rsid w:val="00B16071"/>
    <w:rsid w:val="00B21F61"/>
    <w:rsid w:val="00B261F1"/>
    <w:rsid w:val="00B265BC"/>
    <w:rsid w:val="00B27249"/>
    <w:rsid w:val="00B31FB1"/>
    <w:rsid w:val="00B33952"/>
    <w:rsid w:val="00B33C5E"/>
    <w:rsid w:val="00B342F4"/>
    <w:rsid w:val="00B34369"/>
    <w:rsid w:val="00B34DC2"/>
    <w:rsid w:val="00B35A78"/>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457D"/>
    <w:rsid w:val="00B65149"/>
    <w:rsid w:val="00B66567"/>
    <w:rsid w:val="00B66F52"/>
    <w:rsid w:val="00B66FE5"/>
    <w:rsid w:val="00B72880"/>
    <w:rsid w:val="00B758BF"/>
    <w:rsid w:val="00B77EC8"/>
    <w:rsid w:val="00B827A6"/>
    <w:rsid w:val="00B831CE"/>
    <w:rsid w:val="00B86677"/>
    <w:rsid w:val="00B87131"/>
    <w:rsid w:val="00B939B1"/>
    <w:rsid w:val="00B9471C"/>
    <w:rsid w:val="00B947F1"/>
    <w:rsid w:val="00B96D40"/>
    <w:rsid w:val="00B97386"/>
    <w:rsid w:val="00BA263B"/>
    <w:rsid w:val="00BA42B2"/>
    <w:rsid w:val="00BA58D4"/>
    <w:rsid w:val="00BA5B9E"/>
    <w:rsid w:val="00BA5C40"/>
    <w:rsid w:val="00BA7C9A"/>
    <w:rsid w:val="00BB203B"/>
    <w:rsid w:val="00BB4E24"/>
    <w:rsid w:val="00BB5F8F"/>
    <w:rsid w:val="00BB657A"/>
    <w:rsid w:val="00BC1A4E"/>
    <w:rsid w:val="00BC4790"/>
    <w:rsid w:val="00BC5DC7"/>
    <w:rsid w:val="00BC6AC7"/>
    <w:rsid w:val="00BC6B8B"/>
    <w:rsid w:val="00BC73D8"/>
    <w:rsid w:val="00BD52D7"/>
    <w:rsid w:val="00BD5AD2"/>
    <w:rsid w:val="00BE22F3"/>
    <w:rsid w:val="00BE5B52"/>
    <w:rsid w:val="00BE7B8D"/>
    <w:rsid w:val="00BF0993"/>
    <w:rsid w:val="00BF10A9"/>
    <w:rsid w:val="00BF1703"/>
    <w:rsid w:val="00BF231C"/>
    <w:rsid w:val="00BF51E5"/>
    <w:rsid w:val="00BF6714"/>
    <w:rsid w:val="00BF74A6"/>
    <w:rsid w:val="00C013AD"/>
    <w:rsid w:val="00C04904"/>
    <w:rsid w:val="00C056B3"/>
    <w:rsid w:val="00C103E5"/>
    <w:rsid w:val="00C13319"/>
    <w:rsid w:val="00C13EE9"/>
    <w:rsid w:val="00C15F3B"/>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887"/>
    <w:rsid w:val="00C6329F"/>
    <w:rsid w:val="00C63340"/>
    <w:rsid w:val="00C643F9"/>
    <w:rsid w:val="00C6454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B99"/>
    <w:rsid w:val="00CC038D"/>
    <w:rsid w:val="00CC08DB"/>
    <w:rsid w:val="00CC3191"/>
    <w:rsid w:val="00CC39FF"/>
    <w:rsid w:val="00CC3C2F"/>
    <w:rsid w:val="00CC4AC8"/>
    <w:rsid w:val="00CC5233"/>
    <w:rsid w:val="00CC5DE6"/>
    <w:rsid w:val="00CC6870"/>
    <w:rsid w:val="00CC6E4E"/>
    <w:rsid w:val="00CC6FE8"/>
    <w:rsid w:val="00CC7202"/>
    <w:rsid w:val="00CD0E53"/>
    <w:rsid w:val="00CD2808"/>
    <w:rsid w:val="00CD28BF"/>
    <w:rsid w:val="00CD4092"/>
    <w:rsid w:val="00CD4A20"/>
    <w:rsid w:val="00CD50A1"/>
    <w:rsid w:val="00CD519E"/>
    <w:rsid w:val="00CD561D"/>
    <w:rsid w:val="00CE0C4F"/>
    <w:rsid w:val="00CE2DED"/>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759"/>
    <w:rsid w:val="00D1489E"/>
    <w:rsid w:val="00D14D1A"/>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0E3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A7905"/>
    <w:rsid w:val="00DB0258"/>
    <w:rsid w:val="00DB38EE"/>
    <w:rsid w:val="00DB498B"/>
    <w:rsid w:val="00DB66CA"/>
    <w:rsid w:val="00DB6BCA"/>
    <w:rsid w:val="00DB6E7E"/>
    <w:rsid w:val="00DB6F89"/>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7021"/>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44A"/>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AA7"/>
    <w:rsid w:val="00EA58D1"/>
    <w:rsid w:val="00EA61BC"/>
    <w:rsid w:val="00EA681A"/>
    <w:rsid w:val="00EA70A2"/>
    <w:rsid w:val="00EA735B"/>
    <w:rsid w:val="00EB17DE"/>
    <w:rsid w:val="00EB1E69"/>
    <w:rsid w:val="00EB2086"/>
    <w:rsid w:val="00EB5EDF"/>
    <w:rsid w:val="00EB60FE"/>
    <w:rsid w:val="00EB74DB"/>
    <w:rsid w:val="00EC5359"/>
    <w:rsid w:val="00EC562A"/>
    <w:rsid w:val="00ED067A"/>
    <w:rsid w:val="00ED2B50"/>
    <w:rsid w:val="00EE0350"/>
    <w:rsid w:val="00EE0719"/>
    <w:rsid w:val="00EE071A"/>
    <w:rsid w:val="00EE0E80"/>
    <w:rsid w:val="00EE271E"/>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320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785"/>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0FEF"/>
    <w:rsid w:val="00FB231D"/>
    <w:rsid w:val="00FB2A8D"/>
    <w:rsid w:val="00FB45F1"/>
    <w:rsid w:val="00FB4A72"/>
    <w:rsid w:val="00FB54E8"/>
    <w:rsid w:val="00FB7054"/>
    <w:rsid w:val="00FC1426"/>
    <w:rsid w:val="00FC17B7"/>
    <w:rsid w:val="00FC2CB7"/>
    <w:rsid w:val="00FC4090"/>
    <w:rsid w:val="00FC55B4"/>
    <w:rsid w:val="00FC70DD"/>
    <w:rsid w:val="00FC721E"/>
    <w:rsid w:val="00FD00E6"/>
    <w:rsid w:val="00FD09A1"/>
    <w:rsid w:val="00FD2A7C"/>
    <w:rsid w:val="00FD59EB"/>
    <w:rsid w:val="00FD7299"/>
    <w:rsid w:val="00FE06B4"/>
    <w:rsid w:val="00FE1FBE"/>
    <w:rsid w:val="00FE3901"/>
    <w:rsid w:val="00FE39D3"/>
    <w:rsid w:val="00FE4BCE"/>
    <w:rsid w:val="00FE54AE"/>
    <w:rsid w:val="00FE576A"/>
    <w:rsid w:val="00FE773A"/>
    <w:rsid w:val="00FE7E79"/>
    <w:rsid w:val="00FF3E7D"/>
    <w:rsid w:val="00FF5B99"/>
    <w:rsid w:val="00FF730C"/>
    <w:rsid w:val="00FF73F4"/>
    <w:rsid w:val="00FF7CE4"/>
    <w:rsid w:val="00FF7E39"/>
    <w:rsid w:val="02A8425B"/>
    <w:rsid w:val="02DC3F04"/>
    <w:rsid w:val="04DA0918"/>
    <w:rsid w:val="09EB101D"/>
    <w:rsid w:val="0B1701D0"/>
    <w:rsid w:val="0EE77383"/>
    <w:rsid w:val="0F955B67"/>
    <w:rsid w:val="15BE749A"/>
    <w:rsid w:val="192C753C"/>
    <w:rsid w:val="1E9D3FC3"/>
    <w:rsid w:val="200603BB"/>
    <w:rsid w:val="22B3482A"/>
    <w:rsid w:val="2504136D"/>
    <w:rsid w:val="25597447"/>
    <w:rsid w:val="27AE34C2"/>
    <w:rsid w:val="280E7E13"/>
    <w:rsid w:val="29471828"/>
    <w:rsid w:val="295847EA"/>
    <w:rsid w:val="3172765E"/>
    <w:rsid w:val="3473601C"/>
    <w:rsid w:val="347F41EF"/>
    <w:rsid w:val="35A3428A"/>
    <w:rsid w:val="367D1DCA"/>
    <w:rsid w:val="36EC1C61"/>
    <w:rsid w:val="3A4F49E1"/>
    <w:rsid w:val="3A9A0F33"/>
    <w:rsid w:val="3B23087F"/>
    <w:rsid w:val="3B4E2EEA"/>
    <w:rsid w:val="3C65673D"/>
    <w:rsid w:val="3F221083"/>
    <w:rsid w:val="40163A5C"/>
    <w:rsid w:val="40E13EB9"/>
    <w:rsid w:val="44507CD3"/>
    <w:rsid w:val="44F92119"/>
    <w:rsid w:val="48180B08"/>
    <w:rsid w:val="4BCB2D04"/>
    <w:rsid w:val="4C3A40F7"/>
    <w:rsid w:val="4DE17BEE"/>
    <w:rsid w:val="52BC1E53"/>
    <w:rsid w:val="555313D1"/>
    <w:rsid w:val="58CB74D0"/>
    <w:rsid w:val="5A785436"/>
    <w:rsid w:val="5AE1122D"/>
    <w:rsid w:val="5CD66444"/>
    <w:rsid w:val="5EAE58CA"/>
    <w:rsid w:val="5F506981"/>
    <w:rsid w:val="618F19E3"/>
    <w:rsid w:val="63D77671"/>
    <w:rsid w:val="67B81568"/>
    <w:rsid w:val="685968A7"/>
    <w:rsid w:val="6CB20886"/>
    <w:rsid w:val="6F0E01E9"/>
    <w:rsid w:val="73111460"/>
    <w:rsid w:val="7BAF2B06"/>
    <w:rsid w:val="7D3F47CD"/>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0D6A5FEDB9464ABBD8C981301DCC23"/>
        <w:style w:val=""/>
        <w:category>
          <w:name w:val="常规"/>
          <w:gallery w:val="placeholder"/>
        </w:category>
        <w:types>
          <w:type w:val="bbPlcHdr"/>
        </w:types>
        <w:behaviors>
          <w:behavior w:val="content"/>
        </w:behaviors>
        <w:description w:val=""/>
        <w:guid w:val="{9BCB5F0A-7B45-4AC7-8435-DFEEA5FBE56C}"/>
      </w:docPartPr>
      <w:docPartBody>
        <w:p w14:paraId="1EAD54B0">
          <w:pPr>
            <w:pStyle w:val="5"/>
            <w:rPr>
              <w:rFonts w:hint="eastAsia"/>
            </w:rPr>
          </w:pPr>
          <w:r>
            <w:rPr>
              <w:rStyle w:val="4"/>
              <w:rFonts w:hint="eastAsia"/>
            </w:rPr>
            <w:t>单击或点击此处输入文字。</w:t>
          </w:r>
        </w:p>
      </w:docPartBody>
    </w:docPart>
    <w:docPart>
      <w:docPartPr>
        <w:name w:val="C432EAA93BFD4DAEB25CA6F752C4152D"/>
        <w:style w:val=""/>
        <w:category>
          <w:name w:val="常规"/>
          <w:gallery w:val="placeholder"/>
        </w:category>
        <w:types>
          <w:type w:val="bbPlcHdr"/>
        </w:types>
        <w:behaviors>
          <w:behavior w:val="content"/>
        </w:behaviors>
        <w:description w:val=""/>
        <w:guid w:val="{54716BE0-70EF-48D0-A500-F3FA812CD911}"/>
      </w:docPartPr>
      <w:docPartBody>
        <w:p w14:paraId="5C9B31DF">
          <w:pPr>
            <w:pStyle w:val="6"/>
            <w:rPr>
              <w:rFonts w:hint="eastAsia"/>
            </w:rPr>
          </w:pPr>
          <w:r>
            <w:rPr>
              <w:rStyle w:val="4"/>
              <w:rFonts w:hint="eastAsia"/>
            </w:rPr>
            <w:t>选择一项。</w:t>
          </w:r>
        </w:p>
      </w:docPartBody>
    </w:docPart>
    <w:docPart>
      <w:docPartPr>
        <w:name w:val="0A8636130EBE4097877817B947DE4B10"/>
        <w:style w:val=""/>
        <w:category>
          <w:name w:val="常规"/>
          <w:gallery w:val="placeholder"/>
        </w:category>
        <w:types>
          <w:type w:val="bbPlcHdr"/>
        </w:types>
        <w:behaviors>
          <w:behavior w:val="content"/>
        </w:behaviors>
        <w:description w:val=""/>
        <w:guid w:val="{1406672A-AEE7-439D-A76D-8B908F4EE494}"/>
      </w:docPartPr>
      <w:docPartBody>
        <w:p w14:paraId="2C17131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0B"/>
    <w:rsid w:val="00047DB8"/>
    <w:rsid w:val="000670E5"/>
    <w:rsid w:val="00094DFD"/>
    <w:rsid w:val="000B16F7"/>
    <w:rsid w:val="000B5F30"/>
    <w:rsid w:val="00162571"/>
    <w:rsid w:val="001F4138"/>
    <w:rsid w:val="00281A50"/>
    <w:rsid w:val="002A36A3"/>
    <w:rsid w:val="002C0922"/>
    <w:rsid w:val="00303201"/>
    <w:rsid w:val="00365127"/>
    <w:rsid w:val="0039160D"/>
    <w:rsid w:val="003B084A"/>
    <w:rsid w:val="00472F26"/>
    <w:rsid w:val="004D2381"/>
    <w:rsid w:val="005E1854"/>
    <w:rsid w:val="006509A3"/>
    <w:rsid w:val="00685A1B"/>
    <w:rsid w:val="006E03CE"/>
    <w:rsid w:val="006E5A2B"/>
    <w:rsid w:val="007050E0"/>
    <w:rsid w:val="0072636B"/>
    <w:rsid w:val="007B6A9E"/>
    <w:rsid w:val="007C6EF4"/>
    <w:rsid w:val="007E6F4A"/>
    <w:rsid w:val="008359AB"/>
    <w:rsid w:val="00893EAB"/>
    <w:rsid w:val="008B1EB4"/>
    <w:rsid w:val="008F062F"/>
    <w:rsid w:val="00927438"/>
    <w:rsid w:val="009B302B"/>
    <w:rsid w:val="009E4242"/>
    <w:rsid w:val="00B024D9"/>
    <w:rsid w:val="00B16071"/>
    <w:rsid w:val="00BA5C40"/>
    <w:rsid w:val="00CC3191"/>
    <w:rsid w:val="00DD4571"/>
    <w:rsid w:val="00DD79E1"/>
    <w:rsid w:val="00EA70A2"/>
    <w:rsid w:val="00EF4C79"/>
    <w:rsid w:val="00F16545"/>
    <w:rsid w:val="00F1675E"/>
    <w:rsid w:val="00F3610B"/>
    <w:rsid w:val="00FB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0D6A5FEDB9464ABBD8C981301DCC2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C432EAA93BFD4DAEB25CA6F752C4152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A8636130EBE4097877817B947DE4B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D6376-3D34-442F-AE45-DF1251A8156C}">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5066</Words>
  <Characters>5267</Characters>
  <Lines>271</Lines>
  <Paragraphs>320</Paragraphs>
  <TotalTime>2911</TotalTime>
  <ScaleCrop>false</ScaleCrop>
  <LinksUpToDate>false</LinksUpToDate>
  <CharactersWithSpaces>5345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2025-03-08T07:22:00Z</dcterms:created>
  <dc:creator>cheng'peng</dc:creator>
  <cp:lastModifiedBy>happyending</cp:lastModifiedBy>
  <cp:lastPrinted>2020-08-30T10:00:00Z</cp:lastPrinted>
  <dcterms:modified xsi:type="dcterms:W3CDTF">2025-04-30T03:04:31Z</dcterms:modified>
  <dc:title>地方标准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25E108BDD14F499C8DF2CFE4066DB1CA_13</vt:lpwstr>
  </property>
  <property fmtid="{D5CDD505-2E9C-101B-9397-08002B2CF9AE}" pid="16" name="KSOTemplateDocerSaveRecord">
    <vt:lpwstr>eyJoZGlkIjoiMmI1NWJlY2U0OWVkNTk3Y2FhMjIxNjhkM2MwNmFjODMiLCJ1c2VySWQiOiI1Njc4MDgzMjgifQ==</vt:lpwstr>
  </property>
</Properties>
</file>