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B85C7">
      <w:pPr>
        <w:tabs>
          <w:tab w:val="left" w:pos="5812"/>
          <w:tab w:val="left" w:pos="6946"/>
          <w:tab w:val="left" w:pos="7088"/>
        </w:tabs>
        <w:spacing w:line="560" w:lineRule="exact"/>
        <w:ind w:right="1280" w:rightChars="400"/>
        <w:rPr>
          <w:rFonts w:hint="eastAsia" w:eastAsia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 w14:paraId="158979AB">
      <w:pPr>
        <w:snapToGrid w:val="0"/>
        <w:spacing w:before="100" w:beforeAutospacing="1" w:after="100" w:afterAutospacing="1" w:line="324" w:lineRule="auto"/>
        <w:ind w:firstLine="5920" w:firstLineChars="1850"/>
        <w:rPr>
          <w:rFonts w:eastAsia="仿宋"/>
          <w:sz w:val="32"/>
          <w:szCs w:val="32"/>
        </w:rPr>
      </w:pPr>
    </w:p>
    <w:p w14:paraId="7B23C98D">
      <w:pPr>
        <w:snapToGrid w:val="0"/>
        <w:spacing w:before="100" w:beforeAutospacing="1" w:after="100" w:afterAutospacing="1" w:line="600" w:lineRule="exact"/>
        <w:jc w:val="center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sz w:val="44"/>
          <w:szCs w:val="44"/>
        </w:rPr>
        <w:t>202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sz w:val="44"/>
          <w:szCs w:val="44"/>
        </w:rPr>
        <w:t>年度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文物事业高质量发展案例</w:t>
      </w:r>
      <w:bookmarkEnd w:id="0"/>
    </w:p>
    <w:p w14:paraId="5B2F1D28">
      <w:pPr>
        <w:snapToGrid w:val="0"/>
        <w:spacing w:before="100" w:beforeAutospacing="1" w:after="100" w:afterAutospacing="1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申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报</w:t>
      </w:r>
      <w:r>
        <w:rPr>
          <w:rFonts w:hint="eastAsia" w:ascii="宋体" w:hAnsi="宋体" w:cs="宋体"/>
          <w:b/>
          <w:sz w:val="44"/>
          <w:szCs w:val="44"/>
        </w:rPr>
        <w:t xml:space="preserve"> 书</w:t>
      </w:r>
    </w:p>
    <w:p w14:paraId="429EE3A7">
      <w:pPr>
        <w:snapToGrid w:val="0"/>
        <w:spacing w:before="100" w:beforeAutospacing="1" w:after="100" w:afterAutospacing="1"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 w14:paraId="47B86167">
      <w:pPr>
        <w:snapToGrid w:val="0"/>
        <w:spacing w:before="100" w:beforeAutospacing="1" w:after="100" w:afterAutospacing="1" w:line="400" w:lineRule="exact"/>
        <w:ind w:firstLine="320" w:firstLineChars="100"/>
        <w:jc w:val="left"/>
        <w:rPr>
          <w:rFonts w:eastAsia="仿宋"/>
          <w:sz w:val="32"/>
        </w:rPr>
      </w:pPr>
    </w:p>
    <w:p w14:paraId="7CABDE44">
      <w:pPr>
        <w:snapToGrid w:val="0"/>
        <w:spacing w:before="100" w:beforeAutospacing="1" w:after="100" w:afterAutospacing="1" w:line="400" w:lineRule="exact"/>
        <w:ind w:firstLine="320" w:firstLineChars="100"/>
        <w:jc w:val="left"/>
        <w:rPr>
          <w:rFonts w:eastAsia="黑体"/>
          <w:sz w:val="32"/>
        </w:rPr>
      </w:pPr>
      <w:r>
        <w:rPr>
          <w:rFonts w:hint="eastAsia" w:eastAsia="黑体"/>
          <w:sz w:val="32"/>
          <w:lang w:eastAsia="zh-CN"/>
        </w:rPr>
        <w:t>案例</w:t>
      </w:r>
      <w:r>
        <w:rPr>
          <w:rFonts w:hint="eastAsia" w:eastAsia="黑体"/>
          <w:sz w:val="32"/>
        </w:rPr>
        <w:t>名称：</w:t>
      </w:r>
      <w:r>
        <w:rPr>
          <w:rFonts w:eastAsia="黑体"/>
          <w:sz w:val="32"/>
        </w:rPr>
        <w:t xml:space="preserve"> </w:t>
      </w:r>
    </w:p>
    <w:p w14:paraId="58DA94D5">
      <w:pPr>
        <w:snapToGrid w:val="0"/>
        <w:spacing w:before="100" w:beforeAutospacing="1" w:after="100" w:afterAutospacing="1" w:line="400" w:lineRule="exact"/>
        <w:rPr>
          <w:rFonts w:eastAsia="黑体"/>
          <w:sz w:val="32"/>
        </w:rPr>
      </w:pPr>
    </w:p>
    <w:p w14:paraId="1BECB843">
      <w:pPr>
        <w:snapToGrid w:val="0"/>
        <w:spacing w:before="100" w:beforeAutospacing="1" w:after="100" w:afterAutospacing="1" w:line="400" w:lineRule="exact"/>
        <w:ind w:firstLine="320" w:firstLineChars="100"/>
        <w:rPr>
          <w:rFonts w:eastAsia="楷体_GB2312"/>
          <w:sz w:val="32"/>
        </w:rPr>
      </w:pPr>
      <w:r>
        <w:rPr>
          <w:rFonts w:hint="eastAsia" w:eastAsia="黑体"/>
          <w:sz w:val="32"/>
        </w:rPr>
        <w:t>申报单位：</w:t>
      </w:r>
      <w:r>
        <w:rPr>
          <w:rFonts w:eastAsia="黑体"/>
          <w:sz w:val="32"/>
        </w:rPr>
        <w:t xml:space="preserve">                 </w:t>
      </w:r>
      <w:r>
        <w:rPr>
          <w:rFonts w:eastAsia="楷体_GB2312"/>
          <w:sz w:val="32"/>
        </w:rPr>
        <w:t xml:space="preserve"> </w:t>
      </w:r>
      <w:r>
        <w:rPr>
          <w:rFonts w:hint="eastAsia" w:eastAsia="楷体_GB2312"/>
          <w:sz w:val="32"/>
        </w:rPr>
        <w:t>（公章）</w:t>
      </w:r>
    </w:p>
    <w:p w14:paraId="7A3B1F67">
      <w:pPr>
        <w:snapToGrid w:val="0"/>
        <w:spacing w:before="100" w:beforeAutospacing="1" w:after="100" w:afterAutospacing="1" w:line="400" w:lineRule="exact"/>
        <w:rPr>
          <w:rFonts w:eastAsia="黑体"/>
          <w:sz w:val="32"/>
          <w:szCs w:val="20"/>
        </w:rPr>
      </w:pPr>
    </w:p>
    <w:p w14:paraId="2A382C61">
      <w:pPr>
        <w:snapToGrid w:val="0"/>
        <w:spacing w:before="100" w:beforeAutospacing="1" w:after="100" w:afterAutospacing="1" w:line="400" w:lineRule="exact"/>
        <w:ind w:firstLine="320" w:firstLineChars="100"/>
        <w:rPr>
          <w:rFonts w:eastAsia="黑体"/>
          <w:sz w:val="32"/>
        </w:rPr>
      </w:pPr>
      <w:r>
        <w:rPr>
          <w:rFonts w:hint="eastAsia" w:eastAsia="黑体"/>
          <w:sz w:val="32"/>
          <w:lang w:eastAsia="zh-CN"/>
        </w:rPr>
        <w:t>申报</w:t>
      </w:r>
      <w:r>
        <w:rPr>
          <w:rFonts w:hint="eastAsia" w:eastAsia="黑体"/>
          <w:sz w:val="32"/>
        </w:rPr>
        <w:t>日期：</w:t>
      </w:r>
    </w:p>
    <w:p w14:paraId="613A1AF3">
      <w:pPr>
        <w:snapToGrid w:val="0"/>
        <w:spacing w:before="100" w:beforeAutospacing="1" w:after="100" w:afterAutospacing="1" w:line="400" w:lineRule="exact"/>
        <w:rPr>
          <w:rFonts w:eastAsia="仿宋"/>
          <w:sz w:val="32"/>
        </w:rPr>
      </w:pPr>
    </w:p>
    <w:p w14:paraId="60F567A5">
      <w:pPr>
        <w:snapToGrid w:val="0"/>
        <w:spacing w:before="100" w:beforeAutospacing="1" w:after="100" w:afterAutospacing="1" w:line="400" w:lineRule="exact"/>
        <w:rPr>
          <w:rFonts w:eastAsia="仿宋"/>
          <w:sz w:val="32"/>
        </w:rPr>
      </w:pPr>
    </w:p>
    <w:p w14:paraId="6CFCF071">
      <w:pPr>
        <w:snapToGrid w:val="0"/>
        <w:spacing w:before="100" w:beforeAutospacing="1" w:after="100" w:afterAutospacing="1" w:line="400" w:lineRule="exact"/>
        <w:rPr>
          <w:rFonts w:eastAsia="仿宋"/>
          <w:sz w:val="32"/>
        </w:rPr>
      </w:pPr>
    </w:p>
    <w:p w14:paraId="50B06D93">
      <w:pPr>
        <w:snapToGrid w:val="0"/>
        <w:spacing w:before="100" w:beforeAutospacing="1" w:after="100" w:afterAutospacing="1" w:line="500" w:lineRule="exact"/>
        <w:jc w:val="center"/>
        <w:rPr>
          <w:rFonts w:eastAsia="仿宋"/>
          <w:sz w:val="36"/>
          <w:szCs w:val="36"/>
        </w:rPr>
      </w:pPr>
      <w:r>
        <w:rPr>
          <w:rFonts w:hint="eastAsia" w:eastAsia="黑体"/>
          <w:sz w:val="36"/>
          <w:szCs w:val="36"/>
        </w:rPr>
        <w:t xml:space="preserve">国家文物局 </w:t>
      </w:r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eastAsia="黑体"/>
          <w:sz w:val="36"/>
          <w:szCs w:val="36"/>
        </w:rPr>
        <w:t>制</w:t>
      </w:r>
    </w:p>
    <w:p w14:paraId="21DE7B14">
      <w:p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0FA5D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29BA5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案例情况</w:t>
      </w:r>
    </w:p>
    <w:p w14:paraId="0581F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7261"/>
      </w:tblGrid>
      <w:tr w14:paraId="107E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7" w:type="dxa"/>
            <w:noWrap w:val="0"/>
            <w:vAlign w:val="center"/>
          </w:tcPr>
          <w:p w14:paraId="7F1704DE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案例名称</w:t>
            </w:r>
          </w:p>
        </w:tc>
        <w:tc>
          <w:tcPr>
            <w:tcW w:w="7261" w:type="dxa"/>
            <w:noWrap w:val="0"/>
            <w:vAlign w:val="top"/>
          </w:tcPr>
          <w:p w14:paraId="613B38A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33E2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7" w:type="dxa"/>
            <w:noWrap w:val="0"/>
            <w:vAlign w:val="center"/>
          </w:tcPr>
          <w:p w14:paraId="457993BA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主题类别</w:t>
            </w:r>
          </w:p>
        </w:tc>
        <w:tc>
          <w:tcPr>
            <w:tcW w:w="7261" w:type="dxa"/>
            <w:noWrap w:val="0"/>
            <w:vAlign w:val="top"/>
          </w:tcPr>
          <w:p w14:paraId="1B5C947A">
            <w:pPr>
              <w:spacing w:line="276" w:lineRule="auto"/>
              <w:ind w:left="-298" w:leftChars="-93" w:firstLine="473" w:firstLineChars="148"/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eastAsia="zh-CN"/>
              </w:rPr>
              <w:t>创新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eastAsia="zh-CN"/>
              </w:rPr>
              <w:t>协调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eastAsia="zh-CN"/>
              </w:rPr>
              <w:t>绿色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eastAsia="zh-CN"/>
              </w:rPr>
              <w:t>开放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eastAsia="zh-CN"/>
              </w:rPr>
              <w:t>共享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 xml:space="preserve"> </w:t>
            </w:r>
          </w:p>
        </w:tc>
      </w:tr>
      <w:tr w14:paraId="7AACA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7" w:type="dxa"/>
            <w:noWrap w:val="0"/>
            <w:vAlign w:val="center"/>
          </w:tcPr>
          <w:p w14:paraId="4E1612D8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lang w:eastAsia="zh-CN"/>
              </w:rPr>
              <w:t>背景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</w:rPr>
              <w:t>情况</w:t>
            </w:r>
          </w:p>
        </w:tc>
        <w:tc>
          <w:tcPr>
            <w:tcW w:w="7261" w:type="dxa"/>
            <w:noWrap w:val="0"/>
            <w:vAlign w:val="top"/>
          </w:tcPr>
          <w:p w14:paraId="4DCD749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</w:rPr>
              <w:t>包括案例实施的背景，案例实施单位的基本情况，取得的主要成效。（800字左右）</w:t>
            </w:r>
          </w:p>
          <w:p w14:paraId="1E85C25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64A6D70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770F6A1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26089E3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4C3CD29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275BF45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51B6F20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767D2BC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71A48F1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4003E06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38FF503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2AE8A2C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042C6DB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3EA0608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396E399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19048B4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6A4C3A6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6B21331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6E71774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18A17DA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784EE85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0AF8225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9F0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7" w:type="dxa"/>
            <w:noWrap w:val="0"/>
            <w:vAlign w:val="center"/>
          </w:tcPr>
          <w:p w14:paraId="3A8CB411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</w:rPr>
              <w:t>主要做法</w:t>
            </w:r>
          </w:p>
        </w:tc>
        <w:tc>
          <w:tcPr>
            <w:tcW w:w="7261" w:type="dxa"/>
            <w:noWrap w:val="0"/>
            <w:vAlign w:val="top"/>
          </w:tcPr>
          <w:p w14:paraId="71092B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</w:rPr>
              <w:t>案例推动文物事业高质量发展的主要措施、工作过程，解决的主要问题，主要创新点等。</w:t>
            </w:r>
          </w:p>
          <w:p w14:paraId="238A74D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</w:rPr>
              <w:t>（2200字以内）</w:t>
            </w:r>
          </w:p>
          <w:p w14:paraId="0664004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 w14:paraId="77F1A27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 w14:paraId="53DC061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 w14:paraId="1EF5B2C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 w14:paraId="05A1261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 w14:paraId="7068264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 w14:paraId="433CA0B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 w14:paraId="3DF3C06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 w14:paraId="5337EB2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 w14:paraId="1CC2EA2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 w14:paraId="17BAD6E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 w14:paraId="7817609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 w14:paraId="0970509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 w14:paraId="7AC5B73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 w14:paraId="1577F59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 w14:paraId="0F8DF9B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 w14:paraId="657922C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 w14:paraId="7565F9A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 w14:paraId="6A221F7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 w14:paraId="172032D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 w14:paraId="7506097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 w14:paraId="659F17B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 w14:paraId="2B48F5A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 w14:paraId="6F4BC43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 w14:paraId="60E5EB2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 w14:paraId="7B6A8DB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75AE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7" w:type="dxa"/>
            <w:noWrap w:val="0"/>
            <w:vAlign w:val="center"/>
          </w:tcPr>
          <w:p w14:paraId="452B1424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</w:rPr>
              <w:t>经验总结</w:t>
            </w:r>
          </w:p>
        </w:tc>
        <w:tc>
          <w:tcPr>
            <w:tcW w:w="7261" w:type="dxa"/>
            <w:noWrap w:val="0"/>
            <w:vAlign w:val="top"/>
          </w:tcPr>
          <w:p w14:paraId="3CEA279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</w:rPr>
              <w:t>对主要做法、取得的成绩、存在的问题进行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lang w:eastAsia="zh-CN"/>
              </w:rPr>
              <w:t>思考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</w:rPr>
              <w:t>，做出经验总结，提炼一般意义，对宣传推介工作作出计划。</w:t>
            </w:r>
          </w:p>
          <w:p w14:paraId="0C87F2A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</w:rPr>
              <w:t>（1000字以内）</w:t>
            </w:r>
          </w:p>
          <w:p w14:paraId="7D15D69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 w14:paraId="44B813F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 w14:paraId="0FF0BA1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 w14:paraId="7430B4A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 w14:paraId="27A6343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 w14:paraId="22BA697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 w14:paraId="03B37BF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 w14:paraId="74D602C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 w14:paraId="1B7C954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 w14:paraId="181823D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 w14:paraId="7A66015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 w14:paraId="32EB99B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 w14:paraId="5278FB5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 w14:paraId="2342385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 w14:paraId="28D22B1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 w14:paraId="40613D6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 w14:paraId="1C0F29A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697F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7" w:type="dxa"/>
            <w:noWrap w:val="0"/>
            <w:vAlign w:val="center"/>
          </w:tcPr>
          <w:p w14:paraId="02941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申报单位联系人及联系方式</w:t>
            </w:r>
          </w:p>
        </w:tc>
        <w:tc>
          <w:tcPr>
            <w:tcW w:w="7261" w:type="dxa"/>
            <w:noWrap w:val="0"/>
            <w:vAlign w:val="top"/>
          </w:tcPr>
          <w:p w14:paraId="1BD6C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联系人：</w:t>
            </w:r>
          </w:p>
          <w:p w14:paraId="09858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联系电话：</w:t>
            </w:r>
          </w:p>
          <w:p w14:paraId="5EBEB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联系单位：</w:t>
            </w:r>
          </w:p>
        </w:tc>
      </w:tr>
      <w:tr w14:paraId="783D3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797" w:type="dxa"/>
            <w:noWrap w:val="0"/>
            <w:vAlign w:val="center"/>
          </w:tcPr>
          <w:p w14:paraId="0BA5B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材料目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录</w:t>
            </w:r>
          </w:p>
        </w:tc>
        <w:tc>
          <w:tcPr>
            <w:tcW w:w="7261" w:type="dxa"/>
            <w:noWrap w:val="0"/>
            <w:vAlign w:val="center"/>
          </w:tcPr>
          <w:p w14:paraId="04A04A2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（含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eastAsia="zh-CN"/>
              </w:rPr>
              <w:t>案例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相关佐证材料、获奖情况等）</w:t>
            </w:r>
          </w:p>
        </w:tc>
      </w:tr>
      <w:tr w14:paraId="54900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797" w:type="dxa"/>
            <w:noWrap w:val="0"/>
            <w:vAlign w:val="center"/>
          </w:tcPr>
          <w:p w14:paraId="24B5B1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备  注</w:t>
            </w:r>
          </w:p>
        </w:tc>
        <w:tc>
          <w:tcPr>
            <w:tcW w:w="7261" w:type="dxa"/>
            <w:noWrap w:val="0"/>
            <w:vAlign w:val="top"/>
          </w:tcPr>
          <w:p w14:paraId="21FCAC8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5832A0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516F96-49CC-4900-9B8D-628EC5DAF6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BCF8CF9-1B8C-4D3E-B1A1-F846B7C388A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10DA0FF-1127-4617-918C-FBF4AC6DD21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EB513EC-F5BF-4355-84F5-C76240C3320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FCD59AD7-D068-44BF-9577-EC7E16477441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C5897CF8-1E93-45B8-BB9D-65648609552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D6807"/>
    <w:rsid w:val="7BBD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suppressAutoHyphens/>
      <w:bidi w:val="0"/>
      <w:jc w:val="both"/>
      <w:textAlignment w:val="baseline"/>
    </w:pPr>
    <w:rPr>
      <w:rFonts w:ascii="Times New Roman" w:hAnsi="Times New Roman" w:eastAsia="宋体"/>
      <w:color w:val="000000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2026-03-23T09:39:00Z</dcterms:created>
  <dc:creator>hui</dc:creator>
  <cp:lastModifiedBy>hui</cp:lastModifiedBy>
  <dcterms:modified xsi:type="dcterms:W3CDTF">2026-03-23T09:40:10Z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63E41C95EBBE49B9B01F1465CA79D2BB_11</vt:lpwstr>
  </property>
  <property fmtid="{D5CDD505-2E9C-101B-9397-08002B2CF9AE}" pid="4" name="KSOTemplateDocerSaveRecord">
    <vt:lpwstr>eyJoZGlkIjoiYWUwMWIxOGY2YWU1NWM0NzljZWRkMmQxOGM2N2NhMDciLCJ1c2VySWQiOiIzMjM2ODUzNTMifQ==</vt:lpwstr>
  </property>
</Properties>
</file>